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6D" w:rsidRDefault="00717F6D" w:rsidP="00717F6D">
      <w:pPr>
        <w:rPr>
          <w:b/>
          <w:lang w:val="it-IT"/>
        </w:rPr>
      </w:pPr>
      <w:r w:rsidRPr="005045EA">
        <w:rPr>
          <w:b/>
          <w:sz w:val="24"/>
          <w:szCs w:val="24"/>
          <w:lang w:val="it-IT"/>
        </w:rPr>
        <w:t>BIBLIOGRAFIA ECOLE</w:t>
      </w:r>
      <w:r>
        <w:rPr>
          <w:b/>
          <w:lang w:val="it-IT"/>
        </w:rPr>
        <w:t xml:space="preserve"> </w:t>
      </w:r>
      <w:r w:rsidR="00B035CF">
        <w:rPr>
          <w:b/>
          <w:lang w:val="it-IT"/>
        </w:rPr>
        <w:t xml:space="preserve">de PRINTEMPS </w:t>
      </w:r>
      <w:r w:rsidR="00B035CF" w:rsidRPr="00B035CF">
        <w:rPr>
          <w:b/>
          <w:i/>
          <w:lang w:val="it-IT"/>
        </w:rPr>
        <w:t>P</w:t>
      </w:r>
      <w:r w:rsidR="00B035CF">
        <w:rPr>
          <w:b/>
          <w:i/>
          <w:lang w:val="it-IT"/>
        </w:rPr>
        <w:t>ASSATI/</w:t>
      </w:r>
      <w:r w:rsidR="00B035CF" w:rsidRPr="00B035CF">
        <w:rPr>
          <w:b/>
          <w:i/>
          <w:lang w:val="it-IT"/>
        </w:rPr>
        <w:t>P</w:t>
      </w:r>
      <w:r w:rsidR="00B035CF">
        <w:rPr>
          <w:b/>
          <w:i/>
          <w:lang w:val="it-IT"/>
        </w:rPr>
        <w:t>RESENTI</w:t>
      </w:r>
      <w:r w:rsidR="00B035CF">
        <w:rPr>
          <w:b/>
          <w:lang w:val="it-IT"/>
        </w:rPr>
        <w:t xml:space="preserve"> –Roma 2016</w:t>
      </w:r>
    </w:p>
    <w:p w:rsidR="00717F6D" w:rsidRDefault="00717F6D" w:rsidP="00717F6D">
      <w:pPr>
        <w:pStyle w:val="Paragrafoelenco"/>
        <w:numPr>
          <w:ilvl w:val="0"/>
          <w:numId w:val="1"/>
        </w:numPr>
        <w:rPr>
          <w:b/>
          <w:lang w:val="it-IT"/>
        </w:rPr>
      </w:pPr>
      <w:r>
        <w:rPr>
          <w:b/>
          <w:lang w:val="it-IT"/>
        </w:rPr>
        <w:t>MEMORIA E STORIA</w:t>
      </w:r>
    </w:p>
    <w:p w:rsidR="00717F6D" w:rsidRPr="009B3541" w:rsidRDefault="00717F6D" w:rsidP="00717F6D">
      <w:pPr>
        <w:rPr>
          <w:lang w:val="it-IT"/>
        </w:rPr>
      </w:pPr>
      <w:r w:rsidRPr="009D11A4">
        <w:rPr>
          <w:b/>
          <w:i/>
          <w:lang w:val="en-US"/>
        </w:rPr>
        <w:t xml:space="preserve">Ian </w:t>
      </w:r>
      <w:proofErr w:type="spellStart"/>
      <w:r w:rsidRPr="009D11A4">
        <w:rPr>
          <w:b/>
          <w:i/>
          <w:lang w:val="en-US"/>
        </w:rPr>
        <w:t>Assman</w:t>
      </w:r>
      <w:r w:rsidR="009B3541">
        <w:rPr>
          <w:b/>
          <w:i/>
          <w:lang w:val="en-US"/>
        </w:rPr>
        <w:t>n</w:t>
      </w:r>
      <w:proofErr w:type="spellEnd"/>
      <w:r w:rsidRPr="009D11A4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 xml:space="preserve">, </w:t>
      </w:r>
      <w:r w:rsidRPr="009D11A4">
        <w:rPr>
          <w:lang w:val="en-US"/>
        </w:rPr>
        <w:t xml:space="preserve"> “</w:t>
      </w:r>
      <w:r>
        <w:rPr>
          <w:lang w:val="en-US"/>
        </w:rPr>
        <w:t>Collective Memory and Cultural I</w:t>
      </w:r>
      <w:r w:rsidRPr="009D11A4">
        <w:rPr>
          <w:lang w:val="en-US"/>
        </w:rPr>
        <w:t>dentity”</w:t>
      </w:r>
      <w:r w:rsidRPr="009D11A4">
        <w:rPr>
          <w:b/>
          <w:lang w:val="en-US"/>
        </w:rPr>
        <w:t>,</w:t>
      </w:r>
      <w:r w:rsidRPr="009D11A4">
        <w:rPr>
          <w:lang w:val="en-US"/>
        </w:rPr>
        <w:t xml:space="preserve"> in</w:t>
      </w:r>
      <w:r w:rsidRPr="009D11A4">
        <w:rPr>
          <w:b/>
          <w:lang w:val="en-US"/>
        </w:rPr>
        <w:t xml:space="preserve">  </w:t>
      </w:r>
      <w:r w:rsidRPr="009D11A4">
        <w:rPr>
          <w:i/>
          <w:lang w:val="en-US"/>
        </w:rPr>
        <w:t>New German Critique</w:t>
      </w:r>
      <w:r w:rsidRPr="009D11A4">
        <w:rPr>
          <w:lang w:val="en-US"/>
        </w:rPr>
        <w:t xml:space="preserve">, 65, 1995, pp.  </w:t>
      </w:r>
      <w:r w:rsidRPr="009B3541">
        <w:rPr>
          <w:lang w:val="it-IT"/>
        </w:rPr>
        <w:t xml:space="preserve">125-133 </w:t>
      </w:r>
    </w:p>
    <w:p w:rsidR="00717F6D" w:rsidRPr="00057074" w:rsidRDefault="00717F6D" w:rsidP="00717F6D">
      <w:pPr>
        <w:rPr>
          <w:lang w:val="it-IT"/>
        </w:rPr>
      </w:pPr>
      <w:proofErr w:type="spellStart"/>
      <w:r w:rsidRPr="009B3541">
        <w:rPr>
          <w:b/>
          <w:i/>
          <w:lang w:val="it-IT"/>
        </w:rPr>
        <w:t>Aleida</w:t>
      </w:r>
      <w:proofErr w:type="spellEnd"/>
      <w:r w:rsidRPr="009B3541">
        <w:rPr>
          <w:b/>
          <w:i/>
          <w:lang w:val="it-IT"/>
        </w:rPr>
        <w:t xml:space="preserve"> </w:t>
      </w:r>
      <w:proofErr w:type="spellStart"/>
      <w:r w:rsidRPr="009B3541">
        <w:rPr>
          <w:b/>
          <w:i/>
          <w:lang w:val="it-IT"/>
        </w:rPr>
        <w:t>Assmann</w:t>
      </w:r>
      <w:proofErr w:type="spellEnd"/>
      <w:r w:rsidRPr="00B035CF">
        <w:rPr>
          <w:b/>
          <w:lang w:val="it-IT"/>
        </w:rPr>
        <w:t xml:space="preserve">,  </w:t>
      </w:r>
      <w:r w:rsidRPr="00B035CF">
        <w:rPr>
          <w:i/>
          <w:lang w:val="it-IT"/>
        </w:rPr>
        <w:t xml:space="preserve">Ricordare. </w:t>
      </w:r>
      <w:r w:rsidRPr="005F3880">
        <w:rPr>
          <w:i/>
          <w:lang w:val="it-IT"/>
        </w:rPr>
        <w:t>Forme e mutamenti della memoria cultural</w:t>
      </w:r>
      <w:r>
        <w:rPr>
          <w:lang w:val="it-IT"/>
        </w:rPr>
        <w:t>e</w:t>
      </w:r>
      <w:r w:rsidR="00B035CF">
        <w:rPr>
          <w:lang w:val="it-IT"/>
        </w:rPr>
        <w:t xml:space="preserve"> (1999)</w:t>
      </w:r>
      <w:r w:rsidRPr="005F3880">
        <w:rPr>
          <w:lang w:val="it-IT"/>
        </w:rPr>
        <w:t>, Bologna,</w:t>
      </w:r>
      <w:r>
        <w:rPr>
          <w:lang w:val="it-IT"/>
        </w:rPr>
        <w:t xml:space="preserve"> il Mulino, </w:t>
      </w:r>
      <w:r w:rsidRPr="005F3880">
        <w:rPr>
          <w:lang w:val="it-IT"/>
        </w:rPr>
        <w:t xml:space="preserve"> 2002</w:t>
      </w:r>
      <w:r w:rsidRPr="00057074">
        <w:rPr>
          <w:lang w:val="it-IT"/>
        </w:rPr>
        <w:t xml:space="preserve">: Introduzione;  capp. I, </w:t>
      </w:r>
      <w:proofErr w:type="spellStart"/>
      <w:r w:rsidRPr="00057074">
        <w:rPr>
          <w:lang w:val="it-IT"/>
        </w:rPr>
        <w:t>VI</w:t>
      </w:r>
      <w:proofErr w:type="spellEnd"/>
      <w:r>
        <w:rPr>
          <w:lang w:val="it-IT"/>
        </w:rPr>
        <w:t>,</w:t>
      </w:r>
      <w:r w:rsidRPr="00057074">
        <w:rPr>
          <w:lang w:val="it-IT"/>
        </w:rPr>
        <w:t xml:space="preserve"> e IX-XIII.</w:t>
      </w:r>
    </w:p>
    <w:p w:rsidR="00717F6D" w:rsidRPr="00237586" w:rsidRDefault="00717F6D" w:rsidP="00717F6D">
      <w:pPr>
        <w:rPr>
          <w:lang w:val="it-IT"/>
        </w:rPr>
      </w:pPr>
      <w:r w:rsidRPr="00237586">
        <w:rPr>
          <w:b/>
          <w:i/>
          <w:lang w:val="it-IT"/>
        </w:rPr>
        <w:t xml:space="preserve">François </w:t>
      </w:r>
      <w:proofErr w:type="spellStart"/>
      <w:r w:rsidRPr="00237586">
        <w:rPr>
          <w:b/>
          <w:i/>
          <w:lang w:val="it-IT"/>
        </w:rPr>
        <w:t>Hartog</w:t>
      </w:r>
      <w:proofErr w:type="spellEnd"/>
      <w:r w:rsidRPr="00237586">
        <w:rPr>
          <w:b/>
          <w:i/>
          <w:lang w:val="it-IT"/>
        </w:rPr>
        <w:t xml:space="preserve">, </w:t>
      </w:r>
      <w:r w:rsidRPr="00237586">
        <w:rPr>
          <w:i/>
          <w:lang w:val="it-IT"/>
        </w:rPr>
        <w:t xml:space="preserve">Regimi di storicità. </w:t>
      </w:r>
      <w:proofErr w:type="spellStart"/>
      <w:r w:rsidRPr="00237586">
        <w:rPr>
          <w:i/>
          <w:lang w:val="it-IT"/>
        </w:rPr>
        <w:t>Presentismi</w:t>
      </w:r>
      <w:proofErr w:type="spellEnd"/>
      <w:r w:rsidRPr="00237586">
        <w:rPr>
          <w:i/>
          <w:lang w:val="it-IT"/>
        </w:rPr>
        <w:t xml:space="preserve"> ed esperienze del tempo</w:t>
      </w:r>
      <w:r w:rsidR="00237586" w:rsidRPr="00237586">
        <w:rPr>
          <w:lang w:val="it-IT"/>
        </w:rPr>
        <w:t xml:space="preserve"> (2003)</w:t>
      </w:r>
      <w:r w:rsidRPr="00237586">
        <w:rPr>
          <w:lang w:val="it-IT"/>
        </w:rPr>
        <w:t>, Palermo, Sellerio, 2007: Introduzione;  capp. IV-V</w:t>
      </w:r>
    </w:p>
    <w:p w:rsidR="00717F6D" w:rsidRPr="00717F6D" w:rsidRDefault="00717F6D" w:rsidP="00717F6D">
      <w:pPr>
        <w:pStyle w:val="Paragrafoelenco"/>
        <w:numPr>
          <w:ilvl w:val="0"/>
          <w:numId w:val="1"/>
        </w:numPr>
        <w:rPr>
          <w:b/>
        </w:rPr>
      </w:pPr>
      <w:r w:rsidRPr="00717F6D">
        <w:rPr>
          <w:b/>
        </w:rPr>
        <w:t>IL TEMPO DELLE IMMAGINI</w:t>
      </w:r>
    </w:p>
    <w:p w:rsidR="00717F6D" w:rsidRDefault="00237586" w:rsidP="00717F6D">
      <w:pPr>
        <w:rPr>
          <w:b/>
          <w:color w:val="FF0000"/>
          <w:lang w:val="it-IT"/>
        </w:rPr>
      </w:pPr>
      <w:proofErr w:type="spellStart"/>
      <w:r w:rsidRPr="00237586">
        <w:rPr>
          <w:b/>
          <w:i/>
          <w:lang w:val="it-IT"/>
        </w:rPr>
        <w:t>Aby</w:t>
      </w:r>
      <w:proofErr w:type="spellEnd"/>
      <w:r w:rsidRPr="00237586">
        <w:rPr>
          <w:b/>
          <w:i/>
          <w:lang w:val="it-IT"/>
        </w:rPr>
        <w:t xml:space="preserve"> </w:t>
      </w:r>
      <w:proofErr w:type="spellStart"/>
      <w:r w:rsidRPr="00237586">
        <w:rPr>
          <w:b/>
          <w:i/>
          <w:lang w:val="it-IT"/>
        </w:rPr>
        <w:t>Warburg</w:t>
      </w:r>
      <w:proofErr w:type="spellEnd"/>
      <w:r w:rsidRPr="00237586">
        <w:rPr>
          <w:b/>
          <w:i/>
          <w:lang w:val="it-IT"/>
        </w:rPr>
        <w:t>,</w:t>
      </w:r>
      <w:r w:rsidRPr="00BA0411">
        <w:rPr>
          <w:i/>
          <w:lang w:val="it-IT"/>
        </w:rPr>
        <w:t xml:space="preserve"> </w:t>
      </w:r>
      <w:r w:rsidR="00717F6D" w:rsidRPr="00BA0411">
        <w:rPr>
          <w:i/>
          <w:lang w:val="it-IT"/>
        </w:rPr>
        <w:t>La rinascita de paganesimo antico e altri scritti</w:t>
      </w:r>
      <w:r w:rsidR="00717F6D">
        <w:rPr>
          <w:lang w:val="it-IT"/>
        </w:rPr>
        <w:t xml:space="preserve"> (1889-1914)</w:t>
      </w:r>
      <w:r w:rsidR="00717F6D" w:rsidRPr="00BA0411">
        <w:rPr>
          <w:lang w:val="it-IT"/>
        </w:rPr>
        <w:t xml:space="preserve"> a cura di M. </w:t>
      </w:r>
      <w:proofErr w:type="spellStart"/>
      <w:r w:rsidR="00717F6D">
        <w:rPr>
          <w:lang w:val="it-IT"/>
        </w:rPr>
        <w:t>Ghelardi</w:t>
      </w:r>
      <w:proofErr w:type="spellEnd"/>
      <w:r w:rsidR="00717F6D">
        <w:rPr>
          <w:lang w:val="it-IT"/>
        </w:rPr>
        <w:t xml:space="preserve">, Torino, </w:t>
      </w:r>
      <w:proofErr w:type="spellStart"/>
      <w:r w:rsidR="00717F6D">
        <w:rPr>
          <w:lang w:val="it-IT"/>
        </w:rPr>
        <w:t>Aragno</w:t>
      </w:r>
      <w:proofErr w:type="spellEnd"/>
      <w:r w:rsidR="00717F6D">
        <w:rPr>
          <w:lang w:val="it-IT"/>
        </w:rPr>
        <w:t>,  2004: “La nascita di Venere e la Primavera di Botticelli” (1893); “</w:t>
      </w:r>
      <w:proofErr w:type="spellStart"/>
      <w:r w:rsidR="00717F6D">
        <w:rPr>
          <w:lang w:val="it-IT"/>
        </w:rPr>
        <w:t>Dürer</w:t>
      </w:r>
      <w:proofErr w:type="spellEnd"/>
      <w:r w:rsidR="00717F6D">
        <w:rPr>
          <w:lang w:val="it-IT"/>
        </w:rPr>
        <w:t xml:space="preserve"> e l’antichità italiana” (1905)</w:t>
      </w:r>
    </w:p>
    <w:p w:rsidR="00717F6D" w:rsidRPr="00237586" w:rsidRDefault="00717F6D" w:rsidP="00717F6D">
      <w:pPr>
        <w:rPr>
          <w:lang w:val="it-IT"/>
        </w:rPr>
      </w:pPr>
      <w:proofErr w:type="spellStart"/>
      <w:r w:rsidRPr="00237586">
        <w:rPr>
          <w:b/>
          <w:i/>
          <w:lang w:val="en-US"/>
        </w:rPr>
        <w:t>Aby</w:t>
      </w:r>
      <w:proofErr w:type="spellEnd"/>
      <w:r w:rsidRPr="00237586">
        <w:rPr>
          <w:b/>
          <w:i/>
          <w:lang w:val="en-US"/>
        </w:rPr>
        <w:t xml:space="preserve"> </w:t>
      </w:r>
      <w:proofErr w:type="spellStart"/>
      <w:r w:rsidRPr="00237586">
        <w:rPr>
          <w:b/>
          <w:i/>
          <w:lang w:val="en-US"/>
        </w:rPr>
        <w:t>Warburg</w:t>
      </w:r>
      <w:r w:rsidR="00237586">
        <w:rPr>
          <w:lang w:val="en-US"/>
        </w:rPr>
        <w:t>,</w:t>
      </w:r>
      <w:r w:rsidRPr="00237586">
        <w:rPr>
          <w:i/>
          <w:lang w:val="en-US"/>
        </w:rPr>
        <w:t>Florentinische</w:t>
      </w:r>
      <w:proofErr w:type="spellEnd"/>
      <w:r w:rsidRPr="00237586">
        <w:rPr>
          <w:i/>
          <w:lang w:val="en-US"/>
        </w:rPr>
        <w:t xml:space="preserve"> </w:t>
      </w:r>
      <w:proofErr w:type="spellStart"/>
      <w:r w:rsidRPr="00237586">
        <w:rPr>
          <w:i/>
          <w:lang w:val="en-US"/>
        </w:rPr>
        <w:t>Wirklichkeit</w:t>
      </w:r>
      <w:proofErr w:type="spellEnd"/>
      <w:r w:rsidRPr="00237586">
        <w:rPr>
          <w:i/>
          <w:lang w:val="en-US"/>
        </w:rPr>
        <w:t xml:space="preserve"> und </w:t>
      </w:r>
      <w:proofErr w:type="spellStart"/>
      <w:r w:rsidRPr="00237586">
        <w:rPr>
          <w:i/>
          <w:lang w:val="en-US"/>
        </w:rPr>
        <w:t>Antikisierende</w:t>
      </w:r>
      <w:proofErr w:type="spellEnd"/>
      <w:r w:rsidRPr="00237586">
        <w:rPr>
          <w:i/>
          <w:lang w:val="en-US"/>
        </w:rPr>
        <w:t xml:space="preserve"> </w:t>
      </w:r>
      <w:proofErr w:type="spellStart"/>
      <w:r w:rsidRPr="00237586">
        <w:rPr>
          <w:i/>
          <w:lang w:val="en-US"/>
        </w:rPr>
        <w:t>Idealismus</w:t>
      </w:r>
      <w:proofErr w:type="spellEnd"/>
      <w:r w:rsidRPr="00237586">
        <w:rPr>
          <w:i/>
          <w:lang w:val="en-US"/>
        </w:rPr>
        <w:t xml:space="preserve">. Francesco </w:t>
      </w:r>
      <w:proofErr w:type="spellStart"/>
      <w:r w:rsidRPr="00237586">
        <w:rPr>
          <w:i/>
          <w:lang w:val="en-US"/>
        </w:rPr>
        <w:t>Sassettis</w:t>
      </w:r>
      <w:proofErr w:type="spellEnd"/>
      <w:r w:rsidRPr="00237586">
        <w:rPr>
          <w:i/>
          <w:lang w:val="en-US"/>
        </w:rPr>
        <w:t xml:space="preserve"> Grab und die </w:t>
      </w:r>
      <w:proofErr w:type="spellStart"/>
      <w:r w:rsidRPr="00237586">
        <w:rPr>
          <w:i/>
          <w:lang w:val="en-US"/>
        </w:rPr>
        <w:t>Nymphe</w:t>
      </w:r>
      <w:proofErr w:type="spellEnd"/>
      <w:r w:rsidRPr="00237586">
        <w:rPr>
          <w:i/>
          <w:lang w:val="en-US"/>
        </w:rPr>
        <w:t xml:space="preserve"> des Ghirlandaio</w:t>
      </w:r>
      <w:r w:rsidRPr="00237586">
        <w:rPr>
          <w:lang w:val="en-US"/>
        </w:rPr>
        <w:t xml:space="preserve">, in </w:t>
      </w:r>
      <w:r w:rsidRPr="00237586">
        <w:rPr>
          <w:i/>
          <w:lang w:val="en-US"/>
        </w:rPr>
        <w:t xml:space="preserve">Warburg </w:t>
      </w:r>
      <w:proofErr w:type="spellStart"/>
      <w:r w:rsidRPr="00237586">
        <w:rPr>
          <w:i/>
          <w:lang w:val="en-US"/>
        </w:rPr>
        <w:t>Werke</w:t>
      </w:r>
      <w:proofErr w:type="spellEnd"/>
      <w:r w:rsidRPr="00237586">
        <w:rPr>
          <w:i/>
          <w:lang w:val="en-US"/>
        </w:rPr>
        <w:t xml:space="preserve"> in </w:t>
      </w:r>
      <w:proofErr w:type="spellStart"/>
      <w:r w:rsidRPr="00237586">
        <w:rPr>
          <w:i/>
          <w:lang w:val="en-US"/>
        </w:rPr>
        <w:t>einem</w:t>
      </w:r>
      <w:proofErr w:type="spellEnd"/>
      <w:r w:rsidRPr="00237586">
        <w:rPr>
          <w:i/>
          <w:lang w:val="en-US"/>
        </w:rPr>
        <w:t xml:space="preserve"> Band</w:t>
      </w:r>
      <w:r w:rsidRPr="00237586">
        <w:rPr>
          <w:lang w:val="en-US"/>
        </w:rPr>
        <w:t xml:space="preserve">, eds. </w:t>
      </w:r>
      <w:r w:rsidRPr="00237586">
        <w:rPr>
          <w:lang w:val="it-IT"/>
        </w:rPr>
        <w:t xml:space="preserve">S. </w:t>
      </w:r>
      <w:proofErr w:type="spellStart"/>
      <w:r w:rsidRPr="00237586">
        <w:rPr>
          <w:lang w:val="it-IT"/>
        </w:rPr>
        <w:t>Hetzer</w:t>
      </w:r>
      <w:proofErr w:type="spellEnd"/>
      <w:r w:rsidRPr="00237586">
        <w:rPr>
          <w:lang w:val="it-IT"/>
        </w:rPr>
        <w:t xml:space="preserve"> </w:t>
      </w:r>
      <w:proofErr w:type="spellStart"/>
      <w:r w:rsidRPr="00237586">
        <w:rPr>
          <w:lang w:val="it-IT"/>
        </w:rPr>
        <w:t>et</w:t>
      </w:r>
      <w:proofErr w:type="spellEnd"/>
      <w:r w:rsidRPr="00237586">
        <w:rPr>
          <w:lang w:val="it-IT"/>
        </w:rPr>
        <w:t xml:space="preserve"> al., </w:t>
      </w:r>
      <w:proofErr w:type="spellStart"/>
      <w:r w:rsidR="00E46E1C" w:rsidRPr="00237586">
        <w:rPr>
          <w:lang w:val="it-IT"/>
        </w:rPr>
        <w:t>Frankfurt</w:t>
      </w:r>
      <w:proofErr w:type="spellEnd"/>
      <w:r w:rsidRPr="00237586">
        <w:rPr>
          <w:lang w:val="it-IT"/>
        </w:rPr>
        <w:t xml:space="preserve">, </w:t>
      </w:r>
      <w:proofErr w:type="spellStart"/>
      <w:r w:rsidRPr="00237586">
        <w:rPr>
          <w:lang w:val="it-IT"/>
        </w:rPr>
        <w:t>Suhrkamp</w:t>
      </w:r>
      <w:proofErr w:type="spellEnd"/>
      <w:r w:rsidR="00237586">
        <w:rPr>
          <w:lang w:val="it-IT"/>
        </w:rPr>
        <w:t>,</w:t>
      </w:r>
      <w:r w:rsidRPr="00237586">
        <w:rPr>
          <w:lang w:val="it-IT"/>
        </w:rPr>
        <w:t xml:space="preserve"> 2010 (manoscritto di una conferenza del 1901)</w:t>
      </w:r>
    </w:p>
    <w:p w:rsidR="00717F6D" w:rsidRPr="009B0820" w:rsidRDefault="00717F6D" w:rsidP="00717F6D">
      <w:pPr>
        <w:rPr>
          <w:lang w:val="it-IT"/>
        </w:rPr>
      </w:pPr>
      <w:r w:rsidRPr="006C115B">
        <w:rPr>
          <w:b/>
          <w:i/>
          <w:lang w:val="it-IT"/>
        </w:rPr>
        <w:t xml:space="preserve">Erwin </w:t>
      </w:r>
      <w:proofErr w:type="spellStart"/>
      <w:r w:rsidRPr="006C115B">
        <w:rPr>
          <w:b/>
          <w:i/>
          <w:lang w:val="it-IT"/>
        </w:rPr>
        <w:t>Panofsky</w:t>
      </w:r>
      <w:proofErr w:type="spellEnd"/>
      <w:r w:rsidR="00237586">
        <w:rPr>
          <w:lang w:val="it-IT"/>
        </w:rPr>
        <w:t>,</w:t>
      </w:r>
      <w:r w:rsidR="00237586" w:rsidRPr="00057074">
        <w:rPr>
          <w:i/>
          <w:lang w:val="it-IT"/>
        </w:rPr>
        <w:t xml:space="preserve"> </w:t>
      </w:r>
      <w:r w:rsidRPr="00057074">
        <w:rPr>
          <w:i/>
          <w:lang w:val="it-IT"/>
        </w:rPr>
        <w:t>Rinascimento e Rinascenze nell’arte occidentale</w:t>
      </w:r>
      <w:r w:rsidRPr="00057074">
        <w:rPr>
          <w:lang w:val="it-IT"/>
        </w:rPr>
        <w:t xml:space="preserve"> (1957), Milano, Feltrinelli, 2013: cap. </w:t>
      </w:r>
      <w:r w:rsidRPr="00CE07ED">
        <w:rPr>
          <w:lang w:val="it-IT"/>
        </w:rPr>
        <w:t>I (</w:t>
      </w:r>
      <w:r w:rsidRPr="00E41E77">
        <w:rPr>
          <w:i/>
          <w:lang w:val="it-IT"/>
        </w:rPr>
        <w:t xml:space="preserve">Rinascimento, </w:t>
      </w:r>
      <w:proofErr w:type="spellStart"/>
      <w:r w:rsidRPr="00E41E77">
        <w:rPr>
          <w:i/>
          <w:lang w:val="it-IT"/>
        </w:rPr>
        <w:t>autodefinizione</w:t>
      </w:r>
      <w:proofErr w:type="spellEnd"/>
      <w:r w:rsidRPr="00E41E77">
        <w:rPr>
          <w:i/>
          <w:lang w:val="it-IT"/>
        </w:rPr>
        <w:t xml:space="preserve"> o inganno</w:t>
      </w:r>
      <w:r>
        <w:rPr>
          <w:lang w:val="it-IT"/>
        </w:rPr>
        <w:t xml:space="preserve">). </w:t>
      </w:r>
    </w:p>
    <w:p w:rsidR="00717F6D" w:rsidRDefault="00717F6D" w:rsidP="00717F6D">
      <w:pPr>
        <w:pStyle w:val="Paragrafoelenco"/>
        <w:numPr>
          <w:ilvl w:val="0"/>
          <w:numId w:val="1"/>
        </w:numPr>
        <w:rPr>
          <w:b/>
        </w:rPr>
      </w:pPr>
      <w:r w:rsidRPr="005F3880">
        <w:rPr>
          <w:b/>
        </w:rPr>
        <w:t>ANACRONISMI</w:t>
      </w:r>
    </w:p>
    <w:p w:rsidR="006B11C1" w:rsidRPr="006B11C1" w:rsidRDefault="006B11C1" w:rsidP="006B11C1">
      <w:pPr>
        <w:rPr>
          <w:b/>
          <w:color w:val="FF0000"/>
          <w:lang w:val="it-IT"/>
        </w:rPr>
      </w:pPr>
      <w:r w:rsidRPr="006B11C1">
        <w:rPr>
          <w:b/>
          <w:color w:val="FF0000"/>
          <w:lang w:val="it-IT"/>
        </w:rPr>
        <w:t>Walther Benjamin, tesi sulla Filosofia della storia, 1940</w:t>
      </w:r>
    </w:p>
    <w:p w:rsidR="00717F6D" w:rsidRPr="00237586" w:rsidRDefault="00717F6D" w:rsidP="00717F6D">
      <w:pPr>
        <w:rPr>
          <w:rFonts w:cs="Times New Roman"/>
          <w:lang w:val="it-IT"/>
        </w:rPr>
      </w:pPr>
      <w:r w:rsidRPr="00237586">
        <w:rPr>
          <w:b/>
          <w:i/>
          <w:lang w:val="it-IT"/>
        </w:rPr>
        <w:t xml:space="preserve">Georges </w:t>
      </w:r>
      <w:proofErr w:type="spellStart"/>
      <w:r w:rsidRPr="00237586">
        <w:rPr>
          <w:b/>
          <w:i/>
          <w:lang w:val="it-IT"/>
        </w:rPr>
        <w:t>Didi</w:t>
      </w:r>
      <w:proofErr w:type="spellEnd"/>
      <w:r w:rsidRPr="00237586">
        <w:rPr>
          <w:b/>
          <w:i/>
          <w:lang w:val="it-IT"/>
        </w:rPr>
        <w:t xml:space="preserve"> </w:t>
      </w:r>
      <w:proofErr w:type="spellStart"/>
      <w:r w:rsidRPr="00237586">
        <w:rPr>
          <w:b/>
          <w:i/>
          <w:lang w:val="it-IT"/>
        </w:rPr>
        <w:t>Huberman</w:t>
      </w:r>
      <w:proofErr w:type="spellEnd"/>
      <w:r w:rsidRPr="00237586">
        <w:rPr>
          <w:b/>
          <w:i/>
          <w:lang w:val="it-IT"/>
        </w:rPr>
        <w:t>,</w:t>
      </w:r>
      <w:r w:rsidR="00237586" w:rsidRPr="00237586">
        <w:rPr>
          <w:rFonts w:cs="Times New Roman"/>
          <w:i/>
          <w:lang w:val="it-IT"/>
        </w:rPr>
        <w:t xml:space="preserve"> </w:t>
      </w:r>
      <w:r w:rsidRPr="00237586">
        <w:rPr>
          <w:rFonts w:cs="Times New Roman"/>
          <w:i/>
          <w:lang w:val="it-IT"/>
        </w:rPr>
        <w:t>Ouverture, La storia dell’arte come disciplina anacronistica</w:t>
      </w:r>
      <w:r w:rsidRPr="00237586">
        <w:rPr>
          <w:rFonts w:cs="Times New Roman"/>
          <w:lang w:val="it-IT"/>
        </w:rPr>
        <w:t xml:space="preserve">, in id., </w:t>
      </w:r>
      <w:r w:rsidRPr="00237586">
        <w:rPr>
          <w:rFonts w:cs="Times New Roman"/>
          <w:i/>
          <w:lang w:val="it-IT"/>
        </w:rPr>
        <w:t>Storia dell’Arte e anacronismo delle immagini</w:t>
      </w:r>
      <w:r w:rsidRPr="00237586">
        <w:rPr>
          <w:rFonts w:cs="Times New Roman"/>
          <w:lang w:val="it-IT"/>
        </w:rPr>
        <w:t xml:space="preserve"> (2000), Torino, Bollati </w:t>
      </w:r>
      <w:proofErr w:type="spellStart"/>
      <w:r w:rsidRPr="00237586">
        <w:rPr>
          <w:rFonts w:cs="Times New Roman"/>
          <w:lang w:val="it-IT"/>
        </w:rPr>
        <w:t>Boringhieri</w:t>
      </w:r>
      <w:proofErr w:type="spellEnd"/>
      <w:r w:rsidRPr="00237586">
        <w:rPr>
          <w:rFonts w:cs="Times New Roman"/>
          <w:lang w:val="it-IT"/>
        </w:rPr>
        <w:t>, 2007, pp. 11-56</w:t>
      </w:r>
    </w:p>
    <w:p w:rsidR="00717F6D" w:rsidRDefault="00717F6D" w:rsidP="00717F6D">
      <w:pPr>
        <w:rPr>
          <w:lang w:val="en-US"/>
        </w:rPr>
      </w:pPr>
      <w:r w:rsidRPr="00433EFB">
        <w:rPr>
          <w:b/>
          <w:i/>
          <w:lang w:val="en-US"/>
        </w:rPr>
        <w:t>Mieke Bal</w:t>
      </w:r>
      <w:r>
        <w:rPr>
          <w:b/>
          <w:i/>
          <w:lang w:val="en-US"/>
        </w:rPr>
        <w:t>,</w:t>
      </w:r>
      <w:r w:rsidR="00237586">
        <w:rPr>
          <w:b/>
          <w:i/>
          <w:lang w:val="en-US"/>
        </w:rPr>
        <w:t xml:space="preserve"> </w:t>
      </w:r>
      <w:r>
        <w:rPr>
          <w:i/>
          <w:lang w:val="en-US"/>
        </w:rPr>
        <w:t xml:space="preserve">Introduction : Preposterous History, </w:t>
      </w:r>
      <w:r w:rsidRPr="001010CD">
        <w:rPr>
          <w:lang w:val="en-US"/>
        </w:rPr>
        <w:t xml:space="preserve">in </w:t>
      </w:r>
      <w:r w:rsidRPr="00433EFB">
        <w:rPr>
          <w:i/>
          <w:lang w:val="en-US"/>
        </w:rPr>
        <w:t>Quoting Caravaggio: contemporary Art, preposterous History</w:t>
      </w:r>
      <w:r>
        <w:rPr>
          <w:lang w:val="en-US"/>
        </w:rPr>
        <w:t>, Chicago, Chicago University P</w:t>
      </w:r>
      <w:r w:rsidRPr="00433EFB">
        <w:rPr>
          <w:lang w:val="en-US"/>
        </w:rPr>
        <w:t>ress, 1999</w:t>
      </w:r>
      <w:r>
        <w:rPr>
          <w:lang w:val="en-US"/>
        </w:rPr>
        <w:t>,pp. 1-16</w:t>
      </w:r>
    </w:p>
    <w:p w:rsidR="00717F6D" w:rsidRDefault="00717F6D" w:rsidP="00717F6D">
      <w:pPr>
        <w:rPr>
          <w:lang w:val="en-US"/>
        </w:rPr>
      </w:pPr>
      <w:r>
        <w:rPr>
          <w:b/>
          <w:i/>
          <w:lang w:val="en-US"/>
        </w:rPr>
        <w:t>Christopher Wood, Alexander Nagel,</w:t>
      </w:r>
      <w:r w:rsidR="00237586">
        <w:rPr>
          <w:b/>
          <w:i/>
          <w:lang w:val="en-US"/>
        </w:rPr>
        <w:t xml:space="preserve"> </w:t>
      </w:r>
      <w:r w:rsidRPr="00F935F7">
        <w:rPr>
          <w:lang w:val="en-US"/>
        </w:rPr>
        <w:t xml:space="preserve">“Towards a new Model  of Renaissance Anachronism”, in </w:t>
      </w:r>
      <w:r w:rsidRPr="00F935F7">
        <w:rPr>
          <w:i/>
          <w:lang w:val="en-US"/>
        </w:rPr>
        <w:t xml:space="preserve">The Art </w:t>
      </w:r>
      <w:proofErr w:type="spellStart"/>
      <w:r w:rsidRPr="00F935F7">
        <w:rPr>
          <w:i/>
          <w:lang w:val="en-US"/>
        </w:rPr>
        <w:t>Bullettin</w:t>
      </w:r>
      <w:proofErr w:type="spellEnd"/>
      <w:r w:rsidRPr="00F935F7">
        <w:rPr>
          <w:lang w:val="en-US"/>
        </w:rPr>
        <w:t xml:space="preserve">,  87, 2005, pp. </w:t>
      </w:r>
      <w:r>
        <w:rPr>
          <w:lang w:val="en-US"/>
        </w:rPr>
        <w:t>403-432</w:t>
      </w:r>
    </w:p>
    <w:p w:rsidR="00717F6D" w:rsidRDefault="00717F6D" w:rsidP="00717F6D">
      <w:pPr>
        <w:pStyle w:val="Paragrafoelenco"/>
        <w:numPr>
          <w:ilvl w:val="0"/>
          <w:numId w:val="1"/>
        </w:numPr>
        <w:rPr>
          <w:b/>
          <w:lang w:val="en-US"/>
        </w:rPr>
      </w:pPr>
      <w:r w:rsidRPr="006C115B">
        <w:rPr>
          <w:b/>
          <w:lang w:val="en-US"/>
        </w:rPr>
        <w:t>RISCOPERTE</w:t>
      </w:r>
      <w:r>
        <w:rPr>
          <w:b/>
          <w:lang w:val="en-US"/>
        </w:rPr>
        <w:t xml:space="preserve"> e METODI</w:t>
      </w:r>
    </w:p>
    <w:p w:rsidR="00717F6D" w:rsidRPr="00BE5D1B" w:rsidRDefault="00717F6D" w:rsidP="00717F6D">
      <w:pPr>
        <w:rPr>
          <w:b/>
          <w:lang w:val="it-IT"/>
        </w:rPr>
      </w:pPr>
      <w:r w:rsidRPr="00BE5D1B">
        <w:rPr>
          <w:b/>
          <w:i/>
          <w:lang w:val="it-IT"/>
        </w:rPr>
        <w:t xml:space="preserve">André </w:t>
      </w:r>
      <w:proofErr w:type="spellStart"/>
      <w:r w:rsidRPr="00BE5D1B">
        <w:rPr>
          <w:b/>
          <w:i/>
          <w:lang w:val="it-IT"/>
        </w:rPr>
        <w:t>Malraux</w:t>
      </w:r>
      <w:proofErr w:type="spellEnd"/>
      <w:r w:rsidRPr="00BE5D1B">
        <w:rPr>
          <w:b/>
          <w:lang w:val="it-IT"/>
        </w:rPr>
        <w:t xml:space="preserve">, </w:t>
      </w:r>
      <w:r w:rsidRPr="00BE5D1B">
        <w:rPr>
          <w:i/>
          <w:lang w:val="it-IT"/>
        </w:rPr>
        <w:t>Il museo immaginario</w:t>
      </w:r>
      <w:r w:rsidR="00237586">
        <w:rPr>
          <w:lang w:val="it-IT"/>
        </w:rPr>
        <w:t xml:space="preserve"> (1951)</w:t>
      </w:r>
      <w:r w:rsidRPr="00BE5D1B">
        <w:rPr>
          <w:lang w:val="it-IT"/>
        </w:rPr>
        <w:t xml:space="preserve">, in </w:t>
      </w:r>
      <w:r w:rsidRPr="00BE5D1B">
        <w:rPr>
          <w:i/>
          <w:lang w:val="it-IT"/>
        </w:rPr>
        <w:t>Il Museo del Museo (Le voci del Silenzio)</w:t>
      </w:r>
      <w:r w:rsidRPr="00BE5D1B">
        <w:rPr>
          <w:lang w:val="it-IT"/>
        </w:rPr>
        <w:t>, Milano, Mondadori, 1957</w:t>
      </w:r>
    </w:p>
    <w:p w:rsidR="00237586" w:rsidRDefault="00717F6D" w:rsidP="00237586">
      <w:pPr>
        <w:rPr>
          <w:lang w:val="it-IT"/>
        </w:rPr>
      </w:pPr>
      <w:r w:rsidRPr="00237586">
        <w:rPr>
          <w:b/>
          <w:i/>
          <w:lang w:val="it-IT"/>
        </w:rPr>
        <w:t xml:space="preserve">Francis </w:t>
      </w:r>
      <w:proofErr w:type="spellStart"/>
      <w:r w:rsidRPr="00237586">
        <w:rPr>
          <w:b/>
          <w:i/>
          <w:lang w:val="it-IT"/>
        </w:rPr>
        <w:t>Haskell</w:t>
      </w:r>
      <w:proofErr w:type="spellEnd"/>
      <w:r w:rsidRPr="00237586">
        <w:rPr>
          <w:b/>
          <w:i/>
          <w:lang w:val="it-IT"/>
        </w:rPr>
        <w:t xml:space="preserve">, </w:t>
      </w:r>
      <w:r w:rsidRPr="00237586">
        <w:rPr>
          <w:i/>
          <w:lang w:val="it-IT"/>
        </w:rPr>
        <w:t>R</w:t>
      </w:r>
      <w:r w:rsidR="00237586" w:rsidRPr="00237586">
        <w:rPr>
          <w:i/>
          <w:lang w:val="it-IT"/>
        </w:rPr>
        <w:t>iscoperte nell’arte</w:t>
      </w:r>
      <w:r w:rsidR="00F23999">
        <w:rPr>
          <w:i/>
          <w:lang w:val="it-IT"/>
        </w:rPr>
        <w:t>: a</w:t>
      </w:r>
      <w:r w:rsidR="00237586" w:rsidRPr="00237586">
        <w:rPr>
          <w:i/>
          <w:lang w:val="it-IT"/>
        </w:rPr>
        <w:t xml:space="preserve">spetti del gusto della moda, del collezionismo </w:t>
      </w:r>
      <w:r w:rsidR="00237586" w:rsidRPr="00237586">
        <w:rPr>
          <w:lang w:val="it-IT"/>
        </w:rPr>
        <w:t>(1976), Milano, Edizioni di Comunità, 19</w:t>
      </w:r>
      <w:r w:rsidR="00F23999">
        <w:rPr>
          <w:lang w:val="it-IT"/>
        </w:rPr>
        <w:t>90</w:t>
      </w:r>
    </w:p>
    <w:p w:rsidR="00B035CF" w:rsidRPr="00237586" w:rsidRDefault="00B035CF" w:rsidP="00237586">
      <w:pPr>
        <w:pStyle w:val="Paragrafoelenco"/>
        <w:numPr>
          <w:ilvl w:val="0"/>
          <w:numId w:val="1"/>
        </w:numPr>
        <w:rPr>
          <w:b/>
          <w:lang w:val="it-IT"/>
        </w:rPr>
      </w:pPr>
      <w:r w:rsidRPr="00237586">
        <w:rPr>
          <w:b/>
          <w:lang w:val="it-IT"/>
        </w:rPr>
        <w:t>MEDIOEVO/MEDIOEVI. UN CASO ESEMPLARE</w:t>
      </w:r>
    </w:p>
    <w:p w:rsidR="00B035CF" w:rsidRPr="00B035CF" w:rsidRDefault="00B035CF" w:rsidP="00B035CF">
      <w:pPr>
        <w:rPr>
          <w:rFonts w:eastAsia="Times New Roman"/>
          <w:lang w:val="it-IT"/>
        </w:rPr>
      </w:pPr>
      <w:r w:rsidRPr="00B035CF">
        <w:rPr>
          <w:rFonts w:eastAsia="Times New Roman"/>
          <w:b/>
          <w:i/>
          <w:lang w:val="it-IT"/>
        </w:rPr>
        <w:t xml:space="preserve">Enrico </w:t>
      </w:r>
      <w:proofErr w:type="spellStart"/>
      <w:r w:rsidRPr="00B035CF">
        <w:rPr>
          <w:rFonts w:eastAsia="Times New Roman"/>
          <w:b/>
          <w:i/>
          <w:lang w:val="it-IT"/>
        </w:rPr>
        <w:t>Castelnuovo</w:t>
      </w:r>
      <w:proofErr w:type="spellEnd"/>
      <w:r w:rsidRPr="00B035CF">
        <w:rPr>
          <w:rFonts w:eastAsia="Times New Roman"/>
          <w:lang w:val="it-IT"/>
        </w:rPr>
        <w:t xml:space="preserve"> e </w:t>
      </w:r>
      <w:r w:rsidRPr="00B035CF">
        <w:rPr>
          <w:rFonts w:eastAsia="Times New Roman"/>
          <w:b/>
          <w:i/>
          <w:lang w:val="it-IT"/>
        </w:rPr>
        <w:t xml:space="preserve">Alessio </w:t>
      </w:r>
      <w:proofErr w:type="spellStart"/>
      <w:r w:rsidRPr="00B035CF">
        <w:rPr>
          <w:rFonts w:eastAsia="Times New Roman"/>
          <w:b/>
          <w:i/>
          <w:lang w:val="it-IT"/>
        </w:rPr>
        <w:t>Monciatti</w:t>
      </w:r>
      <w:proofErr w:type="spellEnd"/>
      <w:r w:rsidRPr="00B035CF">
        <w:rPr>
          <w:rFonts w:eastAsia="Times New Roman"/>
          <w:lang w:val="it-IT"/>
        </w:rPr>
        <w:t xml:space="preserve">, </w:t>
      </w:r>
      <w:r w:rsidRPr="00B035CF">
        <w:rPr>
          <w:rFonts w:eastAsia="Times New Roman"/>
          <w:i/>
          <w:lang w:val="it-IT"/>
        </w:rPr>
        <w:t>Introduzione</w:t>
      </w:r>
      <w:r w:rsidRPr="00B035CF">
        <w:rPr>
          <w:rFonts w:eastAsia="Times New Roman"/>
          <w:lang w:val="it-IT"/>
        </w:rPr>
        <w:t xml:space="preserve">, in </w:t>
      </w:r>
      <w:r w:rsidRPr="00B035CF">
        <w:rPr>
          <w:rFonts w:eastAsia="Times New Roman"/>
          <w:i/>
          <w:lang w:val="it-IT"/>
        </w:rPr>
        <w:t>Medioevo/Medioevi : un secolo di esposizioni di arte medievale</w:t>
      </w:r>
      <w:r w:rsidRPr="00B035CF">
        <w:rPr>
          <w:rFonts w:eastAsia="Times New Roman"/>
          <w:lang w:val="it-IT"/>
        </w:rPr>
        <w:t>, Pisa, Edizioni della Scuola Normale, 2008, p. I-XV. </w:t>
      </w:r>
    </w:p>
    <w:p w:rsidR="00B035CF" w:rsidRDefault="00B035CF" w:rsidP="00B035CF">
      <w:pPr>
        <w:rPr>
          <w:rFonts w:eastAsia="Times New Roman"/>
          <w:shd w:val="clear" w:color="auto" w:fill="FFFFFF"/>
          <w:lang w:val="en-US"/>
        </w:rPr>
      </w:pPr>
      <w:r w:rsidRPr="00B035CF">
        <w:rPr>
          <w:rFonts w:eastAsia="Times New Roman"/>
          <w:b/>
          <w:i/>
          <w:lang w:val="en-US"/>
        </w:rPr>
        <w:t xml:space="preserve">Elizabeth Emery, Laura </w:t>
      </w:r>
      <w:proofErr w:type="spellStart"/>
      <w:r w:rsidRPr="00B035CF">
        <w:rPr>
          <w:rFonts w:eastAsia="Times New Roman"/>
          <w:b/>
          <w:i/>
          <w:lang w:val="en-US"/>
        </w:rPr>
        <w:t>Morowitz</w:t>
      </w:r>
      <w:proofErr w:type="spellEnd"/>
      <w:r w:rsidRPr="00B035CF">
        <w:rPr>
          <w:rFonts w:eastAsia="Times New Roman"/>
          <w:lang w:val="en-US"/>
        </w:rPr>
        <w:t xml:space="preserve">, </w:t>
      </w:r>
      <w:r w:rsidRPr="00B035CF">
        <w:rPr>
          <w:rFonts w:eastAsia="Times New Roman"/>
          <w:i/>
          <w:lang w:val="en-US"/>
        </w:rPr>
        <w:t>Consuming the Past, </w:t>
      </w:r>
      <w:r w:rsidRPr="00B035CF">
        <w:rPr>
          <w:rFonts w:eastAsia="Times New Roman"/>
          <w:i/>
          <w:shd w:val="clear" w:color="auto" w:fill="FFFFFF"/>
          <w:lang w:val="en-US"/>
        </w:rPr>
        <w:t>the medieval Revival in fin-de-siècle France</w:t>
      </w:r>
      <w:r w:rsidRPr="00B035CF">
        <w:rPr>
          <w:rFonts w:eastAsia="Times New Roman"/>
          <w:shd w:val="clear" w:color="auto" w:fill="FFFFFF"/>
          <w:lang w:val="en-US"/>
        </w:rPr>
        <w:t xml:space="preserve">, Burlington </w:t>
      </w:r>
      <w:proofErr w:type="spellStart"/>
      <w:r w:rsidRPr="00B035CF">
        <w:rPr>
          <w:rFonts w:eastAsia="Times New Roman"/>
          <w:shd w:val="clear" w:color="auto" w:fill="FFFFFF"/>
          <w:lang w:val="en-US"/>
        </w:rPr>
        <w:t>vt</w:t>
      </w:r>
      <w:proofErr w:type="spellEnd"/>
      <w:r w:rsidRPr="00B035CF">
        <w:rPr>
          <w:rFonts w:eastAsia="Times New Roman"/>
          <w:shd w:val="clear" w:color="auto" w:fill="FFFFFF"/>
          <w:lang w:val="en-US"/>
        </w:rPr>
        <w:t xml:space="preserve">., </w:t>
      </w:r>
      <w:proofErr w:type="spellStart"/>
      <w:r w:rsidRPr="00B035CF">
        <w:rPr>
          <w:rFonts w:eastAsia="Times New Roman"/>
          <w:shd w:val="clear" w:color="auto" w:fill="FFFFFF"/>
          <w:lang w:val="en-US"/>
        </w:rPr>
        <w:t>Ashgate</w:t>
      </w:r>
      <w:proofErr w:type="spellEnd"/>
      <w:r w:rsidRPr="00B035CF">
        <w:rPr>
          <w:rFonts w:eastAsia="Times New Roman"/>
          <w:shd w:val="clear" w:color="auto" w:fill="FFFFFF"/>
          <w:lang w:val="en-US"/>
        </w:rPr>
        <w:t>, 2003.</w:t>
      </w:r>
    </w:p>
    <w:p w:rsidR="00B035CF" w:rsidRDefault="00B035CF" w:rsidP="00B035CF">
      <w:pPr>
        <w:rPr>
          <w:lang w:val="en-US"/>
        </w:rPr>
      </w:pPr>
      <w:r>
        <w:rPr>
          <w:b/>
          <w:i/>
          <w:lang w:val="en-US"/>
        </w:rPr>
        <w:lastRenderedPageBreak/>
        <w:t xml:space="preserve">Alexander </w:t>
      </w:r>
      <w:r w:rsidRPr="00E46E1C">
        <w:rPr>
          <w:b/>
          <w:i/>
          <w:lang w:val="en-US"/>
        </w:rPr>
        <w:t>Nagel</w:t>
      </w:r>
      <w:r>
        <w:rPr>
          <w:b/>
          <w:i/>
          <w:lang w:val="en-US"/>
        </w:rPr>
        <w:t xml:space="preserve">, </w:t>
      </w:r>
      <w:r w:rsidRPr="00E41E77">
        <w:rPr>
          <w:i/>
          <w:lang w:val="en-US"/>
        </w:rPr>
        <w:t>Medieval Modern: Art out of Time</w:t>
      </w:r>
      <w:r>
        <w:rPr>
          <w:lang w:val="en-US"/>
        </w:rPr>
        <w:t xml:space="preserve">, London, Thames and Hudson, 2012, </w:t>
      </w:r>
      <w:proofErr w:type="spellStart"/>
      <w:r>
        <w:rPr>
          <w:lang w:val="en-US"/>
        </w:rPr>
        <w:t>capp</w:t>
      </w:r>
      <w:proofErr w:type="spellEnd"/>
      <w:r>
        <w:rPr>
          <w:lang w:val="en-US"/>
        </w:rPr>
        <w:t>. I (</w:t>
      </w:r>
      <w:r w:rsidRPr="00E41E77">
        <w:rPr>
          <w:i/>
          <w:lang w:val="en-US"/>
        </w:rPr>
        <w:t>Not a long History, a different History</w:t>
      </w:r>
      <w:r>
        <w:rPr>
          <w:lang w:val="en-US"/>
        </w:rPr>
        <w:t>), II (</w:t>
      </w:r>
      <w:r w:rsidRPr="00E41E77">
        <w:rPr>
          <w:i/>
          <w:lang w:val="en-US"/>
        </w:rPr>
        <w:t>Learning to live without artistic Periods</w:t>
      </w:r>
      <w:r>
        <w:rPr>
          <w:lang w:val="en-US"/>
        </w:rPr>
        <w:t>), pp. 7-26 e cap. 10 (</w:t>
      </w:r>
      <w:r w:rsidRPr="00E41E77">
        <w:rPr>
          <w:i/>
          <w:lang w:val="en-US"/>
        </w:rPr>
        <w:t>Non site-Specificity</w:t>
      </w:r>
      <w:r>
        <w:rPr>
          <w:lang w:val="en-US"/>
        </w:rPr>
        <w:t>), pp. 116-132</w:t>
      </w:r>
    </w:p>
    <w:p w:rsidR="00B035CF" w:rsidRPr="006B11C1" w:rsidRDefault="006B11C1" w:rsidP="00B035CF">
      <w:pPr>
        <w:rPr>
          <w:rFonts w:eastAsia="Times New Roman"/>
        </w:rPr>
      </w:pPr>
      <w:r w:rsidRPr="006B11C1">
        <w:rPr>
          <w:rFonts w:eastAsia="Times New Roman"/>
        </w:rPr>
        <w:t>ALTRI SUGGERIMENTI DAI MEMBRI RESEAU</w:t>
      </w:r>
    </w:p>
    <w:p w:rsidR="006B11C1" w:rsidRDefault="006B11C1" w:rsidP="00B035CF">
      <w:pPr>
        <w:rPr>
          <w:rFonts w:eastAsia="Times New Roman"/>
        </w:rPr>
      </w:pPr>
      <w:r>
        <w:rPr>
          <w:rFonts w:eastAsia="Times New Roman"/>
        </w:rPr>
        <w:t xml:space="preserve">-Stephan Ferret, </w:t>
      </w:r>
      <w:r w:rsidRPr="006B11C1">
        <w:rPr>
          <w:rFonts w:eastAsia="Times New Roman"/>
          <w:i/>
        </w:rPr>
        <w:t xml:space="preserve">Le bateau de </w:t>
      </w:r>
      <w:proofErr w:type="spellStart"/>
      <w:r w:rsidRPr="006B11C1">
        <w:rPr>
          <w:rFonts w:eastAsia="Times New Roman"/>
          <w:i/>
        </w:rPr>
        <w:t>Thèsee</w:t>
      </w:r>
      <w:proofErr w:type="spellEnd"/>
      <w:r w:rsidRPr="006B11C1">
        <w:rPr>
          <w:rFonts w:eastAsia="Times New Roman"/>
          <w:i/>
        </w:rPr>
        <w:t xml:space="preserve">. Le </w:t>
      </w:r>
      <w:proofErr w:type="spellStart"/>
      <w:r w:rsidRPr="006B11C1">
        <w:rPr>
          <w:rFonts w:eastAsia="Times New Roman"/>
          <w:i/>
        </w:rPr>
        <w:t>problem</w:t>
      </w:r>
      <w:r>
        <w:rPr>
          <w:rFonts w:eastAsia="Times New Roman"/>
          <w:i/>
        </w:rPr>
        <w:t>e</w:t>
      </w:r>
      <w:proofErr w:type="spellEnd"/>
      <w:r w:rsidRPr="006B11C1">
        <w:rPr>
          <w:rFonts w:eastAsia="Times New Roman"/>
          <w:i/>
        </w:rPr>
        <w:t xml:space="preserve"> de l’identité à travers le temps</w:t>
      </w:r>
      <w:r w:rsidRPr="006B11C1">
        <w:rPr>
          <w:rFonts w:eastAsia="Times New Roman"/>
        </w:rPr>
        <w:t xml:space="preserve">, Ed. </w:t>
      </w:r>
      <w:r>
        <w:rPr>
          <w:rFonts w:eastAsia="Times New Roman"/>
        </w:rPr>
        <w:t>de Minuit</w:t>
      </w:r>
    </w:p>
    <w:p w:rsidR="006B11C1" w:rsidRDefault="006B11C1" w:rsidP="00B035CF">
      <w:pPr>
        <w:rPr>
          <w:rFonts w:eastAsia="Times New Roman"/>
          <w:lang w:val="it-IT"/>
        </w:rPr>
      </w:pPr>
      <w:r w:rsidRPr="006B11C1">
        <w:rPr>
          <w:rFonts w:eastAsia="Times New Roman"/>
          <w:lang w:val="it-IT"/>
        </w:rPr>
        <w:t xml:space="preserve">Rancière, </w:t>
      </w:r>
      <w:proofErr w:type="spellStart"/>
      <w:r w:rsidRPr="006B11C1">
        <w:rPr>
          <w:rFonts w:eastAsia="Times New Roman"/>
          <w:lang w:val="it-IT"/>
        </w:rPr>
        <w:t>article</w:t>
      </w:r>
      <w:proofErr w:type="spellEnd"/>
      <w:r w:rsidRPr="006B11C1">
        <w:rPr>
          <w:rFonts w:eastAsia="Times New Roman"/>
          <w:lang w:val="it-IT"/>
        </w:rPr>
        <w:t xml:space="preserve"> su l’</w:t>
      </w:r>
      <w:proofErr w:type="spellStart"/>
      <w:r w:rsidRPr="006B11C1">
        <w:rPr>
          <w:rFonts w:eastAsia="Times New Roman"/>
          <w:lang w:val="it-IT"/>
        </w:rPr>
        <w:t>Anachronisme</w:t>
      </w:r>
      <w:proofErr w:type="spellEnd"/>
      <w:r w:rsidRPr="006B11C1">
        <w:rPr>
          <w:rFonts w:eastAsia="Times New Roman"/>
          <w:lang w:val="it-IT"/>
        </w:rPr>
        <w:t xml:space="preserve">, citato da </w:t>
      </w:r>
      <w:proofErr w:type="spellStart"/>
      <w:r w:rsidRPr="006B11C1">
        <w:rPr>
          <w:rFonts w:eastAsia="Times New Roman"/>
          <w:lang w:val="it-IT"/>
        </w:rPr>
        <w:t>Didi</w:t>
      </w:r>
      <w:proofErr w:type="spellEnd"/>
      <w:r w:rsidRPr="006B11C1">
        <w:rPr>
          <w:rFonts w:eastAsia="Times New Roman"/>
          <w:lang w:val="it-IT"/>
        </w:rPr>
        <w:t xml:space="preserve"> </w:t>
      </w:r>
      <w:proofErr w:type="spellStart"/>
      <w:r w:rsidRPr="006B11C1">
        <w:rPr>
          <w:rFonts w:eastAsia="Times New Roman"/>
          <w:lang w:val="it-IT"/>
        </w:rPr>
        <w:t>Huberman</w:t>
      </w:r>
      <w:proofErr w:type="spellEnd"/>
      <w:r w:rsidRPr="006B11C1">
        <w:rPr>
          <w:rFonts w:eastAsia="Times New Roman"/>
          <w:lang w:val="it-IT"/>
        </w:rPr>
        <w:t>, su periodico</w:t>
      </w:r>
    </w:p>
    <w:p w:rsidR="006B11C1" w:rsidRPr="006B11C1" w:rsidRDefault="006B11C1" w:rsidP="00B035CF">
      <w:pPr>
        <w:rPr>
          <w:rFonts w:eastAsia="Times New Roman"/>
          <w:lang w:val="it-IT"/>
        </w:rPr>
      </w:pPr>
      <w:proofErr w:type="spellStart"/>
      <w:r>
        <w:rPr>
          <w:rFonts w:eastAsia="Times New Roman"/>
          <w:lang w:val="it-IT"/>
        </w:rPr>
        <w:t>Agamben</w:t>
      </w:r>
      <w:proofErr w:type="spellEnd"/>
      <w:r>
        <w:rPr>
          <w:rFonts w:eastAsia="Times New Roman"/>
          <w:lang w:val="it-IT"/>
        </w:rPr>
        <w:t>, Che cosa è il contemporaneo</w:t>
      </w:r>
    </w:p>
    <w:p w:rsidR="006B11C1" w:rsidRDefault="006B11C1" w:rsidP="00B035CF">
      <w:pPr>
        <w:rPr>
          <w:rFonts w:eastAsia="Times New Roman"/>
          <w:lang w:val="it-IT"/>
        </w:rPr>
      </w:pPr>
      <w:proofErr w:type="spellStart"/>
      <w:r>
        <w:rPr>
          <w:rFonts w:eastAsia="Times New Roman"/>
          <w:lang w:val="it-IT"/>
        </w:rPr>
        <w:t>Jauss</w:t>
      </w:r>
      <w:proofErr w:type="spellEnd"/>
      <w:r>
        <w:rPr>
          <w:rFonts w:eastAsia="Times New Roman"/>
          <w:lang w:val="it-IT"/>
        </w:rPr>
        <w:t xml:space="preserve">, </w:t>
      </w:r>
      <w:proofErr w:type="spellStart"/>
      <w:r>
        <w:rPr>
          <w:rFonts w:eastAsia="Times New Roman"/>
          <w:lang w:val="it-IT"/>
        </w:rPr>
        <w:t>Théorie</w:t>
      </w:r>
      <w:proofErr w:type="spellEnd"/>
      <w:r>
        <w:rPr>
          <w:rFonts w:eastAsia="Times New Roman"/>
          <w:lang w:val="it-IT"/>
        </w:rPr>
        <w:t xml:space="preserve"> de la Réception</w:t>
      </w:r>
    </w:p>
    <w:p w:rsidR="006B11C1" w:rsidRDefault="006B11C1" w:rsidP="00B035CF">
      <w:pPr>
        <w:rPr>
          <w:rFonts w:eastAsia="Times New Roman"/>
          <w:lang w:val="it-IT"/>
        </w:rPr>
      </w:pPr>
    </w:p>
    <w:p w:rsidR="006B11C1" w:rsidRDefault="006B11C1" w:rsidP="00B035CF">
      <w:pPr>
        <w:rPr>
          <w:rFonts w:eastAsia="Times New Roman"/>
          <w:lang w:val="it-IT"/>
        </w:rPr>
      </w:pPr>
      <w:r>
        <w:rPr>
          <w:rFonts w:eastAsia="Times New Roman"/>
          <w:lang w:val="it-IT"/>
        </w:rPr>
        <w:t>Dagli studenti italiani</w:t>
      </w:r>
    </w:p>
    <w:p w:rsidR="006B11C1" w:rsidRDefault="006B11C1" w:rsidP="00B035CF">
      <w:pPr>
        <w:rPr>
          <w:rFonts w:eastAsia="Times New Roman"/>
          <w:lang w:val="it-IT"/>
        </w:rPr>
      </w:pPr>
      <w:proofErr w:type="spellStart"/>
      <w:r>
        <w:rPr>
          <w:rFonts w:eastAsia="Times New Roman"/>
          <w:lang w:val="it-IT"/>
        </w:rPr>
        <w:t>Castelnuovo</w:t>
      </w:r>
      <w:proofErr w:type="spellEnd"/>
      <w:r>
        <w:rPr>
          <w:rFonts w:eastAsia="Times New Roman"/>
          <w:lang w:val="it-IT"/>
        </w:rPr>
        <w:t xml:space="preserve">, Art, </w:t>
      </w:r>
      <w:proofErr w:type="spellStart"/>
      <w:r>
        <w:rPr>
          <w:rFonts w:eastAsia="Times New Roman"/>
          <w:lang w:val="it-IT"/>
        </w:rPr>
        <w:t>Image</w:t>
      </w:r>
      <w:proofErr w:type="spellEnd"/>
      <w:r>
        <w:rPr>
          <w:rFonts w:eastAsia="Times New Roman"/>
          <w:lang w:val="it-IT"/>
        </w:rPr>
        <w:t xml:space="preserve">, </w:t>
      </w:r>
      <w:proofErr w:type="spellStart"/>
      <w:r>
        <w:rPr>
          <w:rFonts w:eastAsia="Times New Roman"/>
          <w:lang w:val="it-IT"/>
        </w:rPr>
        <w:t>Revolution</w:t>
      </w:r>
      <w:proofErr w:type="spellEnd"/>
    </w:p>
    <w:p w:rsidR="006B11C1" w:rsidRDefault="006B11C1" w:rsidP="00B035CF">
      <w:pPr>
        <w:rPr>
          <w:rFonts w:eastAsia="Times New Roman"/>
          <w:lang w:val="it-IT"/>
        </w:rPr>
      </w:pPr>
      <w:r>
        <w:rPr>
          <w:rFonts w:eastAsia="Times New Roman"/>
          <w:lang w:val="it-IT"/>
        </w:rPr>
        <w:t xml:space="preserve">Tutti i libri di </w:t>
      </w:r>
      <w:proofErr w:type="spellStart"/>
      <w:r>
        <w:rPr>
          <w:rFonts w:eastAsia="Times New Roman"/>
          <w:lang w:val="it-IT"/>
        </w:rPr>
        <w:t>Haskell</w:t>
      </w:r>
      <w:proofErr w:type="spellEnd"/>
    </w:p>
    <w:p w:rsidR="006B11C1" w:rsidRPr="006B11C1" w:rsidRDefault="006B11C1" w:rsidP="00B035CF">
      <w:pPr>
        <w:rPr>
          <w:rFonts w:eastAsia="Times New Roman"/>
          <w:lang w:val="it-IT"/>
        </w:rPr>
      </w:pPr>
      <w:r>
        <w:rPr>
          <w:rFonts w:eastAsia="Times New Roman"/>
          <w:lang w:val="it-IT"/>
        </w:rPr>
        <w:t>Rosenblum, Trasformazioni nell’arte</w:t>
      </w:r>
    </w:p>
    <w:p w:rsidR="00B035CF" w:rsidRPr="006B11C1" w:rsidRDefault="00B035CF" w:rsidP="00B035CF">
      <w:pPr>
        <w:rPr>
          <w:color w:val="FF0000"/>
          <w:lang w:val="it-IT"/>
        </w:rPr>
      </w:pPr>
    </w:p>
    <w:p w:rsidR="007D4C71" w:rsidRPr="006B11C1" w:rsidRDefault="007D4C71">
      <w:pPr>
        <w:rPr>
          <w:lang w:val="it-IT"/>
        </w:rPr>
      </w:pPr>
    </w:p>
    <w:sectPr w:rsidR="007D4C71" w:rsidRPr="006B11C1" w:rsidSect="007D4C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3649B"/>
    <w:multiLevelType w:val="hybridMultilevel"/>
    <w:tmpl w:val="9B4C21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17F6D"/>
    <w:rsid w:val="000F751B"/>
    <w:rsid w:val="00110419"/>
    <w:rsid w:val="00237586"/>
    <w:rsid w:val="00363AB5"/>
    <w:rsid w:val="006B11C1"/>
    <w:rsid w:val="00703BA5"/>
    <w:rsid w:val="00717F6D"/>
    <w:rsid w:val="007D4C71"/>
    <w:rsid w:val="007E51B5"/>
    <w:rsid w:val="008136D5"/>
    <w:rsid w:val="008661C6"/>
    <w:rsid w:val="00945ED6"/>
    <w:rsid w:val="00974E36"/>
    <w:rsid w:val="009B3541"/>
    <w:rsid w:val="00B035CF"/>
    <w:rsid w:val="00B067C2"/>
    <w:rsid w:val="00B136B4"/>
    <w:rsid w:val="00BC349A"/>
    <w:rsid w:val="00C063C7"/>
    <w:rsid w:val="00CC6B2C"/>
    <w:rsid w:val="00DD40BD"/>
    <w:rsid w:val="00E46E1C"/>
    <w:rsid w:val="00F23999"/>
    <w:rsid w:val="00F3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F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7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</dc:creator>
  <cp:lastModifiedBy>mariagrazia</cp:lastModifiedBy>
  <cp:revision>2</cp:revision>
  <dcterms:created xsi:type="dcterms:W3CDTF">2016-05-21T19:59:00Z</dcterms:created>
  <dcterms:modified xsi:type="dcterms:W3CDTF">2016-05-21T19:59:00Z</dcterms:modified>
</cp:coreProperties>
</file>