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50" w:rsidRPr="00863850" w:rsidRDefault="00863850" w:rsidP="00863850">
      <w:pPr>
        <w:rPr>
          <w:b/>
        </w:rPr>
      </w:pPr>
      <w:r w:rsidRPr="00863850">
        <w:rPr>
          <w:b/>
          <w:sz w:val="24"/>
          <w:szCs w:val="24"/>
        </w:rPr>
        <w:t xml:space="preserve">BIBLIOGRAPHIE  Ecole de Printemps </w:t>
      </w:r>
      <w:r>
        <w:rPr>
          <w:b/>
          <w:sz w:val="24"/>
          <w:szCs w:val="24"/>
        </w:rPr>
        <w:t xml:space="preserve"> PASSÉ</w:t>
      </w:r>
      <w:r w:rsidRPr="00863850">
        <w:rPr>
          <w:b/>
          <w:sz w:val="24"/>
          <w:szCs w:val="24"/>
        </w:rPr>
        <w:t xml:space="preserve">S </w:t>
      </w:r>
      <w:r>
        <w:rPr>
          <w:b/>
          <w:sz w:val="24"/>
          <w:szCs w:val="24"/>
        </w:rPr>
        <w:t xml:space="preserve">/PRÉSENTS  - </w:t>
      </w:r>
      <w:r w:rsidRPr="00863850">
        <w:rPr>
          <w:b/>
          <w:sz w:val="24"/>
          <w:szCs w:val="24"/>
        </w:rPr>
        <w:t>Rome</w:t>
      </w:r>
      <w:r w:rsidRPr="00863850">
        <w:rPr>
          <w:b/>
        </w:rPr>
        <w:t xml:space="preserve"> 2016</w:t>
      </w:r>
    </w:p>
    <w:p w:rsidR="00863850" w:rsidRDefault="00863850" w:rsidP="00863850">
      <w:pPr>
        <w:pStyle w:val="Paragrafoelenco"/>
        <w:numPr>
          <w:ilvl w:val="0"/>
          <w:numId w:val="1"/>
        </w:numPr>
        <w:rPr>
          <w:b/>
          <w:lang w:val="it-IT"/>
        </w:rPr>
      </w:pPr>
      <w:r>
        <w:rPr>
          <w:b/>
          <w:lang w:val="it-IT"/>
        </w:rPr>
        <w:t>MÉMOIRE ET HISTOIRE</w:t>
      </w:r>
    </w:p>
    <w:p w:rsidR="00863850" w:rsidRPr="009D11A4" w:rsidRDefault="00863850" w:rsidP="00863850">
      <w:pPr>
        <w:rPr>
          <w:lang w:val="en-US"/>
        </w:rPr>
      </w:pPr>
      <w:r w:rsidRPr="009D11A4">
        <w:rPr>
          <w:b/>
          <w:i/>
          <w:lang w:val="en-US"/>
        </w:rPr>
        <w:t xml:space="preserve">Ian </w:t>
      </w:r>
      <w:proofErr w:type="spellStart"/>
      <w:r w:rsidRPr="009D11A4">
        <w:rPr>
          <w:b/>
          <w:i/>
          <w:lang w:val="en-US"/>
        </w:rPr>
        <w:t>Assman</w:t>
      </w:r>
      <w:proofErr w:type="spellEnd"/>
      <w:r w:rsidRPr="009D11A4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 xml:space="preserve">, </w:t>
      </w:r>
      <w:r w:rsidRPr="009D11A4">
        <w:rPr>
          <w:lang w:val="en-US"/>
        </w:rPr>
        <w:t xml:space="preserve"> “</w:t>
      </w:r>
      <w:r>
        <w:rPr>
          <w:lang w:val="en-US"/>
        </w:rPr>
        <w:t>Collective Memory and Cultural I</w:t>
      </w:r>
      <w:r w:rsidRPr="009D11A4">
        <w:rPr>
          <w:lang w:val="en-US"/>
        </w:rPr>
        <w:t>dentity”</w:t>
      </w:r>
      <w:r w:rsidRPr="009D11A4">
        <w:rPr>
          <w:b/>
          <w:lang w:val="en-US"/>
        </w:rPr>
        <w:t>,</w:t>
      </w:r>
      <w:r w:rsidRPr="009D11A4">
        <w:rPr>
          <w:lang w:val="en-US"/>
        </w:rPr>
        <w:t xml:space="preserve"> in</w:t>
      </w:r>
      <w:r w:rsidRPr="009D11A4">
        <w:rPr>
          <w:b/>
          <w:lang w:val="en-US"/>
        </w:rPr>
        <w:t xml:space="preserve">  </w:t>
      </w:r>
      <w:r w:rsidRPr="009D11A4">
        <w:rPr>
          <w:i/>
          <w:lang w:val="en-US"/>
        </w:rPr>
        <w:t>New German Critique</w:t>
      </w:r>
      <w:r w:rsidRPr="009D11A4">
        <w:rPr>
          <w:lang w:val="en-US"/>
        </w:rPr>
        <w:t>, 65,</w:t>
      </w:r>
      <w:r>
        <w:rPr>
          <w:lang w:val="en-US"/>
        </w:rPr>
        <w:t xml:space="preserve"> 1995, pp.  125-133 </w:t>
      </w:r>
    </w:p>
    <w:p w:rsidR="00863850" w:rsidRPr="00863850" w:rsidRDefault="00863850" w:rsidP="00863850">
      <w:pPr>
        <w:rPr>
          <w:lang w:val="en-US"/>
        </w:rPr>
      </w:pPr>
      <w:proofErr w:type="spellStart"/>
      <w:r w:rsidRPr="009D11A4">
        <w:rPr>
          <w:b/>
          <w:lang w:val="en-US"/>
        </w:rPr>
        <w:t>Aleida</w:t>
      </w:r>
      <w:proofErr w:type="spellEnd"/>
      <w:r w:rsidRPr="009D11A4">
        <w:rPr>
          <w:b/>
          <w:lang w:val="en-US"/>
        </w:rPr>
        <w:t xml:space="preserve"> </w:t>
      </w:r>
      <w:proofErr w:type="spellStart"/>
      <w:r w:rsidRPr="009D11A4">
        <w:rPr>
          <w:b/>
          <w:lang w:val="en-US"/>
        </w:rPr>
        <w:t>Assmann</w:t>
      </w:r>
      <w:proofErr w:type="spellEnd"/>
      <w:r w:rsidRPr="009D11A4">
        <w:rPr>
          <w:b/>
          <w:lang w:val="en-US"/>
        </w:rPr>
        <w:t xml:space="preserve">,  </w:t>
      </w:r>
      <w:proofErr w:type="spellStart"/>
      <w:r w:rsidRPr="00DC25C2">
        <w:rPr>
          <w:i/>
          <w:lang w:val="en-US"/>
        </w:rPr>
        <w:t>Erinnerungsraume</w:t>
      </w:r>
      <w:proofErr w:type="spellEnd"/>
      <w:r w:rsidRPr="00DC25C2">
        <w:rPr>
          <w:i/>
          <w:lang w:val="en-US"/>
        </w:rPr>
        <w:t xml:space="preserve">. </w:t>
      </w:r>
      <w:proofErr w:type="spellStart"/>
      <w:r w:rsidRPr="00AC3388">
        <w:rPr>
          <w:i/>
          <w:lang w:val="en-US"/>
        </w:rPr>
        <w:t>Formen</w:t>
      </w:r>
      <w:proofErr w:type="spellEnd"/>
      <w:r w:rsidRPr="00AC3388">
        <w:rPr>
          <w:i/>
          <w:lang w:val="en-US"/>
        </w:rPr>
        <w:t xml:space="preserve"> und </w:t>
      </w:r>
      <w:proofErr w:type="spellStart"/>
      <w:r w:rsidRPr="00AC3388">
        <w:rPr>
          <w:i/>
          <w:lang w:val="en-US"/>
        </w:rPr>
        <w:t>Wandlungen</w:t>
      </w:r>
      <w:proofErr w:type="spellEnd"/>
      <w:r w:rsidRPr="00AC3388">
        <w:rPr>
          <w:i/>
          <w:lang w:val="en-US"/>
        </w:rPr>
        <w:t xml:space="preserve"> des </w:t>
      </w:r>
      <w:proofErr w:type="spellStart"/>
      <w:r w:rsidRPr="00AC3388">
        <w:rPr>
          <w:i/>
          <w:lang w:val="en-US"/>
        </w:rPr>
        <w:t>Kulturellen</w:t>
      </w:r>
      <w:proofErr w:type="spellEnd"/>
      <w:r w:rsidRPr="00AC3388">
        <w:rPr>
          <w:i/>
          <w:lang w:val="en-US"/>
        </w:rPr>
        <w:t xml:space="preserve"> </w:t>
      </w:r>
      <w:proofErr w:type="spellStart"/>
      <w:r w:rsidRPr="00AC3388">
        <w:rPr>
          <w:i/>
          <w:lang w:val="en-US"/>
        </w:rPr>
        <w:t>Gedachtnis</w:t>
      </w:r>
      <w:proofErr w:type="spellEnd"/>
      <w:r w:rsidRPr="00AC3388">
        <w:rPr>
          <w:lang w:val="en-US"/>
        </w:rPr>
        <w:t xml:space="preserve">, </w:t>
      </w:r>
      <w:proofErr w:type="spellStart"/>
      <w:r w:rsidRPr="00AC3388">
        <w:rPr>
          <w:lang w:val="en-US"/>
        </w:rPr>
        <w:t>Munchen</w:t>
      </w:r>
      <w:proofErr w:type="spellEnd"/>
      <w:r w:rsidRPr="00AC3388">
        <w:rPr>
          <w:lang w:val="en-US"/>
        </w:rPr>
        <w:t xml:space="preserve">, Beck, 1999/ </w:t>
      </w:r>
      <w:proofErr w:type="spellStart"/>
      <w:r w:rsidRPr="00AC3388">
        <w:rPr>
          <w:i/>
          <w:lang w:val="en-US"/>
        </w:rPr>
        <w:t>Ricordare</w:t>
      </w:r>
      <w:proofErr w:type="spellEnd"/>
      <w:r w:rsidRPr="00AC3388">
        <w:rPr>
          <w:i/>
          <w:lang w:val="en-US"/>
        </w:rPr>
        <w:t xml:space="preserve">. </w:t>
      </w:r>
      <w:r w:rsidRPr="005F3880">
        <w:rPr>
          <w:i/>
          <w:lang w:val="it-IT"/>
        </w:rPr>
        <w:t>Forme e mutamenti della memoria cultural</w:t>
      </w:r>
      <w:r>
        <w:rPr>
          <w:lang w:val="it-IT"/>
        </w:rPr>
        <w:t>e</w:t>
      </w:r>
      <w:r w:rsidRPr="005F3880">
        <w:rPr>
          <w:lang w:val="it-IT"/>
        </w:rPr>
        <w:t>, Bologna,</w:t>
      </w:r>
      <w:r>
        <w:rPr>
          <w:lang w:val="it-IT"/>
        </w:rPr>
        <w:t xml:space="preserve"> il Mulino, </w:t>
      </w:r>
      <w:r w:rsidRPr="005F3880">
        <w:rPr>
          <w:lang w:val="it-IT"/>
        </w:rPr>
        <w:t xml:space="preserve"> 2002</w:t>
      </w:r>
      <w:r>
        <w:rPr>
          <w:lang w:val="it-IT"/>
        </w:rPr>
        <w:t xml:space="preserve">/ </w:t>
      </w:r>
      <w:r w:rsidRPr="009D11A4">
        <w:rPr>
          <w:i/>
          <w:lang w:val="it-IT"/>
        </w:rPr>
        <w:t xml:space="preserve">Cultural </w:t>
      </w:r>
      <w:proofErr w:type="spellStart"/>
      <w:r w:rsidRPr="009D11A4">
        <w:rPr>
          <w:i/>
          <w:lang w:val="it-IT"/>
        </w:rPr>
        <w:t>Memory</w:t>
      </w:r>
      <w:proofErr w:type="spellEnd"/>
      <w:r w:rsidRPr="009D11A4">
        <w:rPr>
          <w:i/>
          <w:lang w:val="it-IT"/>
        </w:rPr>
        <w:t xml:space="preserve"> and Western </w:t>
      </w:r>
      <w:proofErr w:type="spellStart"/>
      <w:r w:rsidRPr="009D11A4">
        <w:rPr>
          <w:i/>
          <w:lang w:val="it-IT"/>
        </w:rPr>
        <w:t>Civilization</w:t>
      </w:r>
      <w:proofErr w:type="spellEnd"/>
      <w:r w:rsidRPr="009D11A4">
        <w:rPr>
          <w:i/>
          <w:lang w:val="it-IT"/>
        </w:rPr>
        <w:t xml:space="preserve">. </w:t>
      </w:r>
      <w:r w:rsidRPr="00863850">
        <w:rPr>
          <w:i/>
          <w:lang w:val="en-US"/>
        </w:rPr>
        <w:t>Functions, Media, Archives</w:t>
      </w:r>
      <w:r w:rsidRPr="00863850">
        <w:rPr>
          <w:lang w:val="en-US"/>
        </w:rPr>
        <w:t>, Cambridge, Cambridge University Press, 2011: Introduction</w:t>
      </w:r>
      <w:r>
        <w:rPr>
          <w:lang w:val="en-US"/>
        </w:rPr>
        <w:t>,</w:t>
      </w:r>
      <w:r w:rsidRPr="00863850">
        <w:rPr>
          <w:lang w:val="en-US"/>
        </w:rPr>
        <w:t xml:space="preserve">  chap. I, VI, et IX-XIII.</w:t>
      </w:r>
    </w:p>
    <w:p w:rsidR="00863850" w:rsidRPr="00057074" w:rsidRDefault="00863850" w:rsidP="00863850">
      <w:r w:rsidRPr="001010CD">
        <w:rPr>
          <w:b/>
          <w:i/>
        </w:rPr>
        <w:t xml:space="preserve">François </w:t>
      </w:r>
      <w:proofErr w:type="spellStart"/>
      <w:r w:rsidRPr="001010CD">
        <w:rPr>
          <w:b/>
          <w:i/>
        </w:rPr>
        <w:t>Hartog</w:t>
      </w:r>
      <w:proofErr w:type="spellEnd"/>
      <w:r>
        <w:rPr>
          <w:b/>
          <w:i/>
        </w:rPr>
        <w:t xml:space="preserve">, </w:t>
      </w:r>
      <w:r w:rsidRPr="001010CD">
        <w:rPr>
          <w:i/>
        </w:rPr>
        <w:t xml:space="preserve">Régimes d’historicité. Présentisme et  expérience du temps </w:t>
      </w:r>
      <w:r w:rsidRPr="001010CD">
        <w:t>(2003), Paris, Seuil, 2012</w:t>
      </w:r>
      <w:r w:rsidRPr="00057074">
        <w:t>: Introdu</w:t>
      </w:r>
      <w:r>
        <w:t>ction</w:t>
      </w:r>
      <w:r w:rsidRPr="00057074">
        <w:t xml:space="preserve">; </w:t>
      </w:r>
      <w:r>
        <w:t xml:space="preserve"> chap. IV-V</w:t>
      </w:r>
    </w:p>
    <w:p w:rsidR="00863850" w:rsidRPr="00717F6D" w:rsidRDefault="00863850" w:rsidP="00863850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LE TEMPS DES IMAGES</w:t>
      </w:r>
    </w:p>
    <w:p w:rsidR="00863850" w:rsidRPr="00863850" w:rsidRDefault="00863850" w:rsidP="00863850">
      <w:pPr>
        <w:rPr>
          <w:b/>
          <w:color w:val="FF0000"/>
        </w:rPr>
      </w:pPr>
      <w:proofErr w:type="spellStart"/>
      <w:r w:rsidRPr="00863850">
        <w:rPr>
          <w:b/>
          <w:i/>
        </w:rPr>
        <w:t>Aby</w:t>
      </w:r>
      <w:proofErr w:type="spellEnd"/>
      <w:r w:rsidRPr="00863850">
        <w:rPr>
          <w:b/>
          <w:i/>
        </w:rPr>
        <w:t xml:space="preserve"> Warburg, </w:t>
      </w:r>
      <w:r w:rsidRPr="00863850">
        <w:rPr>
          <w:i/>
        </w:rPr>
        <w:t>Essais Florentins</w:t>
      </w:r>
      <w:r w:rsidRPr="00863850">
        <w:t xml:space="preserve">,  E. Pinto Éd., Paris, </w:t>
      </w:r>
      <w:proofErr w:type="spellStart"/>
      <w:r w:rsidRPr="00863850">
        <w:t>Klinksieck</w:t>
      </w:r>
      <w:proofErr w:type="spellEnd"/>
      <w:r w:rsidRPr="00863850">
        <w:t>, 1990: “La naissance de Vénus et le Printemps de Botticelli” (1893); “Dürer e</w:t>
      </w:r>
      <w:r>
        <w:t>t l’antiquité italienne</w:t>
      </w:r>
      <w:r w:rsidRPr="00863850">
        <w:t>” (1905)</w:t>
      </w:r>
    </w:p>
    <w:p w:rsidR="00863850" w:rsidRPr="00863850" w:rsidRDefault="00863850" w:rsidP="00863850">
      <w:proofErr w:type="spellStart"/>
      <w:r w:rsidRPr="00863850">
        <w:rPr>
          <w:b/>
          <w:i/>
          <w:lang w:val="en-US"/>
        </w:rPr>
        <w:t>Aby</w:t>
      </w:r>
      <w:proofErr w:type="spellEnd"/>
      <w:r w:rsidRPr="00863850">
        <w:rPr>
          <w:b/>
          <w:i/>
          <w:lang w:val="en-US"/>
        </w:rPr>
        <w:t xml:space="preserve"> Warburg</w:t>
      </w:r>
      <w:r w:rsidRPr="00863850">
        <w:rPr>
          <w:lang w:val="en-US"/>
        </w:rPr>
        <w:t xml:space="preserve">, </w:t>
      </w:r>
      <w:proofErr w:type="spellStart"/>
      <w:r w:rsidRPr="00863850">
        <w:rPr>
          <w:i/>
          <w:lang w:val="en-US"/>
        </w:rPr>
        <w:t>Florentinische</w:t>
      </w:r>
      <w:proofErr w:type="spellEnd"/>
      <w:r w:rsidRPr="00863850">
        <w:rPr>
          <w:i/>
          <w:lang w:val="en-US"/>
        </w:rPr>
        <w:t xml:space="preserve"> </w:t>
      </w:r>
      <w:proofErr w:type="spellStart"/>
      <w:r w:rsidRPr="00863850">
        <w:rPr>
          <w:i/>
          <w:lang w:val="en-US"/>
        </w:rPr>
        <w:t>Wirklichkeit</w:t>
      </w:r>
      <w:proofErr w:type="spellEnd"/>
      <w:r w:rsidRPr="00863850">
        <w:rPr>
          <w:i/>
          <w:lang w:val="en-US"/>
        </w:rPr>
        <w:t xml:space="preserve"> und </w:t>
      </w:r>
      <w:proofErr w:type="spellStart"/>
      <w:r w:rsidRPr="00863850">
        <w:rPr>
          <w:i/>
          <w:lang w:val="en-US"/>
        </w:rPr>
        <w:t>Antikisierende</w:t>
      </w:r>
      <w:proofErr w:type="spellEnd"/>
      <w:r w:rsidRPr="00863850">
        <w:rPr>
          <w:i/>
          <w:lang w:val="en-US"/>
        </w:rPr>
        <w:t xml:space="preserve"> </w:t>
      </w:r>
      <w:proofErr w:type="spellStart"/>
      <w:r w:rsidRPr="00863850">
        <w:rPr>
          <w:i/>
          <w:lang w:val="en-US"/>
        </w:rPr>
        <w:t>Idealismus</w:t>
      </w:r>
      <w:proofErr w:type="spellEnd"/>
      <w:r w:rsidRPr="00863850">
        <w:rPr>
          <w:i/>
          <w:lang w:val="en-US"/>
        </w:rPr>
        <w:t xml:space="preserve">. Francesco </w:t>
      </w:r>
      <w:proofErr w:type="spellStart"/>
      <w:r w:rsidRPr="00863850">
        <w:rPr>
          <w:i/>
          <w:lang w:val="en-US"/>
        </w:rPr>
        <w:t>Sassettis</w:t>
      </w:r>
      <w:proofErr w:type="spellEnd"/>
      <w:r w:rsidRPr="00863850">
        <w:rPr>
          <w:i/>
          <w:lang w:val="en-US"/>
        </w:rPr>
        <w:t xml:space="preserve"> Grab und die </w:t>
      </w:r>
      <w:proofErr w:type="spellStart"/>
      <w:r w:rsidRPr="00863850">
        <w:rPr>
          <w:i/>
          <w:lang w:val="en-US"/>
        </w:rPr>
        <w:t>Nymphe</w:t>
      </w:r>
      <w:proofErr w:type="spellEnd"/>
      <w:r w:rsidRPr="00863850">
        <w:rPr>
          <w:i/>
          <w:lang w:val="en-US"/>
        </w:rPr>
        <w:t xml:space="preserve"> des Ghirlandaio</w:t>
      </w:r>
      <w:r w:rsidRPr="00863850">
        <w:rPr>
          <w:lang w:val="en-US"/>
        </w:rPr>
        <w:t xml:space="preserve">, in </w:t>
      </w:r>
      <w:r w:rsidRPr="00863850">
        <w:rPr>
          <w:i/>
          <w:lang w:val="en-US"/>
        </w:rPr>
        <w:t xml:space="preserve">Warburg </w:t>
      </w:r>
      <w:proofErr w:type="spellStart"/>
      <w:r w:rsidRPr="00863850">
        <w:rPr>
          <w:i/>
          <w:lang w:val="en-US"/>
        </w:rPr>
        <w:t>Werke</w:t>
      </w:r>
      <w:proofErr w:type="spellEnd"/>
      <w:r w:rsidRPr="00863850">
        <w:rPr>
          <w:i/>
          <w:lang w:val="en-US"/>
        </w:rPr>
        <w:t xml:space="preserve"> in </w:t>
      </w:r>
      <w:proofErr w:type="spellStart"/>
      <w:r w:rsidRPr="00863850">
        <w:rPr>
          <w:i/>
          <w:lang w:val="en-US"/>
        </w:rPr>
        <w:t>einem</w:t>
      </w:r>
      <w:proofErr w:type="spellEnd"/>
      <w:r w:rsidRPr="00863850">
        <w:rPr>
          <w:i/>
          <w:lang w:val="en-US"/>
        </w:rPr>
        <w:t xml:space="preserve"> Band</w:t>
      </w:r>
      <w:r w:rsidRPr="00863850">
        <w:rPr>
          <w:lang w:val="en-US"/>
        </w:rPr>
        <w:t xml:space="preserve">, eds. S. </w:t>
      </w:r>
      <w:proofErr w:type="spellStart"/>
      <w:r w:rsidRPr="00863850">
        <w:rPr>
          <w:lang w:val="en-US"/>
        </w:rPr>
        <w:t>Hetzer</w:t>
      </w:r>
      <w:proofErr w:type="spellEnd"/>
      <w:r w:rsidRPr="00863850">
        <w:rPr>
          <w:lang w:val="en-US"/>
        </w:rPr>
        <w:t xml:space="preserve"> et al., Frankfurt, </w:t>
      </w:r>
      <w:proofErr w:type="spellStart"/>
      <w:r w:rsidRPr="00863850">
        <w:rPr>
          <w:lang w:val="en-US"/>
        </w:rPr>
        <w:t>Suhrkamp</w:t>
      </w:r>
      <w:proofErr w:type="spellEnd"/>
      <w:r w:rsidRPr="00863850">
        <w:rPr>
          <w:lang w:val="en-US"/>
        </w:rPr>
        <w:t>.</w:t>
      </w:r>
      <w:r>
        <w:rPr>
          <w:lang w:val="en-US"/>
        </w:rPr>
        <w:t xml:space="preserve"> </w:t>
      </w:r>
      <w:r w:rsidRPr="00863850">
        <w:t>2010 (conférence du 1901)</w:t>
      </w:r>
    </w:p>
    <w:p w:rsidR="00863850" w:rsidRPr="00863850" w:rsidRDefault="00863850" w:rsidP="00863850">
      <w:pPr>
        <w:rPr>
          <w:lang w:val="en-US"/>
        </w:rPr>
      </w:pPr>
      <w:r w:rsidRPr="00863850">
        <w:rPr>
          <w:b/>
          <w:i/>
        </w:rPr>
        <w:t>Erwin Panofsky</w:t>
      </w:r>
      <w:r w:rsidRPr="00863850">
        <w:t>,</w:t>
      </w:r>
      <w:r w:rsidRPr="00863850">
        <w:rPr>
          <w:i/>
        </w:rPr>
        <w:t xml:space="preserve"> La Renaissance et ses avant-courriers dans l’Art d’occident</w:t>
      </w:r>
      <w:r w:rsidRPr="00863850">
        <w:t xml:space="preserve"> (1957), Paris, Flammarion, 2008: c</w:t>
      </w:r>
      <w:r>
        <w:t>h</w:t>
      </w:r>
      <w:r w:rsidRPr="00863850">
        <w:t>ap. I</w:t>
      </w:r>
    </w:p>
    <w:p w:rsidR="00863850" w:rsidRPr="005F3880" w:rsidRDefault="00863850" w:rsidP="00863850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ANACHRONISMES</w:t>
      </w:r>
    </w:p>
    <w:p w:rsidR="00863850" w:rsidRPr="00D765AB" w:rsidRDefault="00863850" w:rsidP="00863850">
      <w:pPr>
        <w:rPr>
          <w:rFonts w:cs="Times New Roman"/>
          <w:lang w:val="en-US"/>
        </w:rPr>
      </w:pPr>
      <w:r w:rsidRPr="00057074">
        <w:rPr>
          <w:b/>
          <w:i/>
          <w:lang w:val="en-US"/>
        </w:rPr>
        <w:t xml:space="preserve">Georges </w:t>
      </w:r>
      <w:proofErr w:type="spellStart"/>
      <w:r w:rsidRPr="00057074">
        <w:rPr>
          <w:b/>
          <w:i/>
          <w:lang w:val="en-US"/>
        </w:rPr>
        <w:t>Didi</w:t>
      </w:r>
      <w:proofErr w:type="spellEnd"/>
      <w:r w:rsidRPr="00057074">
        <w:rPr>
          <w:b/>
          <w:i/>
          <w:lang w:val="en-US"/>
        </w:rPr>
        <w:t xml:space="preserve"> </w:t>
      </w:r>
      <w:proofErr w:type="spellStart"/>
      <w:r w:rsidRPr="00057074">
        <w:rPr>
          <w:b/>
          <w:i/>
          <w:lang w:val="en-US"/>
        </w:rPr>
        <w:t>Huberman</w:t>
      </w:r>
      <w:proofErr w:type="spellEnd"/>
      <w:r w:rsidRPr="00057074">
        <w:rPr>
          <w:b/>
          <w:i/>
          <w:lang w:val="en-US"/>
        </w:rPr>
        <w:t>,</w:t>
      </w:r>
      <w:r>
        <w:rPr>
          <w:b/>
          <w:i/>
          <w:lang w:val="en-US"/>
        </w:rPr>
        <w:t xml:space="preserve"> </w:t>
      </w:r>
      <w:proofErr w:type="spellStart"/>
      <w:r w:rsidRPr="00057074">
        <w:rPr>
          <w:i/>
          <w:lang w:val="en-US"/>
        </w:rPr>
        <w:t>Ouverture</w:t>
      </w:r>
      <w:proofErr w:type="spellEnd"/>
      <w:r w:rsidRPr="00057074">
        <w:rPr>
          <w:i/>
          <w:lang w:val="en-US"/>
        </w:rPr>
        <w:t xml:space="preserve"> </w:t>
      </w:r>
      <w:r w:rsidRPr="00057074">
        <w:rPr>
          <w:lang w:val="en-US"/>
        </w:rPr>
        <w:t xml:space="preserve">in id.  </w:t>
      </w:r>
      <w:proofErr w:type="spellStart"/>
      <w:r w:rsidRPr="00D765AB">
        <w:rPr>
          <w:i/>
          <w:lang w:val="en-US"/>
        </w:rPr>
        <w:t>Devant</w:t>
      </w:r>
      <w:proofErr w:type="spellEnd"/>
      <w:r w:rsidRPr="00D765AB">
        <w:rPr>
          <w:i/>
          <w:lang w:val="en-US"/>
        </w:rPr>
        <w:t xml:space="preserve"> le temps. Histoire de </w:t>
      </w:r>
      <w:proofErr w:type="spellStart"/>
      <w:r w:rsidRPr="00D765AB">
        <w:rPr>
          <w:i/>
          <w:lang w:val="en-US"/>
        </w:rPr>
        <w:t>l’art</w:t>
      </w:r>
      <w:proofErr w:type="spellEnd"/>
      <w:r w:rsidRPr="00D765AB">
        <w:rPr>
          <w:i/>
          <w:lang w:val="en-US"/>
        </w:rPr>
        <w:t xml:space="preserve"> et </w:t>
      </w:r>
      <w:proofErr w:type="spellStart"/>
      <w:r w:rsidRPr="00D765AB">
        <w:rPr>
          <w:i/>
          <w:lang w:val="en-US"/>
        </w:rPr>
        <w:t>anachronisme</w:t>
      </w:r>
      <w:proofErr w:type="spellEnd"/>
      <w:r w:rsidRPr="00D765AB">
        <w:rPr>
          <w:i/>
          <w:lang w:val="en-US"/>
        </w:rPr>
        <w:t xml:space="preserve"> des images, </w:t>
      </w:r>
      <w:r w:rsidRPr="00D765AB">
        <w:rPr>
          <w:lang w:val="en-US"/>
        </w:rPr>
        <w:t>Paris, Editions de Minuit, 2000</w:t>
      </w:r>
    </w:p>
    <w:p w:rsidR="00863850" w:rsidRDefault="00863850" w:rsidP="00863850">
      <w:pPr>
        <w:rPr>
          <w:lang w:val="en-US"/>
        </w:rPr>
      </w:pPr>
      <w:proofErr w:type="spellStart"/>
      <w:r w:rsidRPr="00433EFB">
        <w:rPr>
          <w:b/>
          <w:i/>
          <w:lang w:val="en-US"/>
        </w:rPr>
        <w:t>Mieke</w:t>
      </w:r>
      <w:proofErr w:type="spellEnd"/>
      <w:r w:rsidRPr="00433EFB">
        <w:rPr>
          <w:b/>
          <w:i/>
          <w:lang w:val="en-US"/>
        </w:rPr>
        <w:t xml:space="preserve"> Bal</w:t>
      </w:r>
      <w:r>
        <w:rPr>
          <w:b/>
          <w:i/>
          <w:lang w:val="en-US"/>
        </w:rPr>
        <w:t xml:space="preserve">, </w:t>
      </w:r>
      <w:r>
        <w:rPr>
          <w:i/>
          <w:lang w:val="en-US"/>
        </w:rPr>
        <w:t xml:space="preserve">Introduction: Preposterous History, </w:t>
      </w:r>
      <w:r w:rsidRPr="001010CD">
        <w:rPr>
          <w:lang w:val="en-US"/>
        </w:rPr>
        <w:t xml:space="preserve">in </w:t>
      </w:r>
      <w:r>
        <w:rPr>
          <w:lang w:val="en-US"/>
        </w:rPr>
        <w:t xml:space="preserve">id., </w:t>
      </w:r>
      <w:r w:rsidRPr="00433EFB">
        <w:rPr>
          <w:i/>
          <w:lang w:val="en-US"/>
        </w:rPr>
        <w:t>Quoting Caravaggio: contemporary Art, preposterous History</w:t>
      </w:r>
      <w:r>
        <w:rPr>
          <w:lang w:val="en-US"/>
        </w:rPr>
        <w:t>, Chicago, Chicago University P</w:t>
      </w:r>
      <w:r w:rsidRPr="00433EFB">
        <w:rPr>
          <w:lang w:val="en-US"/>
        </w:rPr>
        <w:t>ress, 1999</w:t>
      </w:r>
      <w:r>
        <w:rPr>
          <w:lang w:val="en-US"/>
        </w:rPr>
        <w:t>, pp. 1-16</w:t>
      </w:r>
    </w:p>
    <w:p w:rsidR="00863850" w:rsidRDefault="00863850" w:rsidP="00863850">
      <w:pPr>
        <w:rPr>
          <w:lang w:val="en-US"/>
        </w:rPr>
      </w:pPr>
      <w:r>
        <w:rPr>
          <w:b/>
          <w:i/>
          <w:lang w:val="en-US"/>
        </w:rPr>
        <w:t xml:space="preserve">Christopher Wood, Alexander Nagel, </w:t>
      </w:r>
      <w:r w:rsidRPr="00F935F7">
        <w:rPr>
          <w:lang w:val="en-US"/>
        </w:rPr>
        <w:t xml:space="preserve">“Towards a new Model  of Renaissance Anachronism”, in </w:t>
      </w:r>
      <w:r w:rsidRPr="00F935F7">
        <w:rPr>
          <w:i/>
          <w:lang w:val="en-US"/>
        </w:rPr>
        <w:t xml:space="preserve">The Art </w:t>
      </w:r>
      <w:proofErr w:type="spellStart"/>
      <w:r w:rsidRPr="00F935F7">
        <w:rPr>
          <w:i/>
          <w:lang w:val="en-US"/>
        </w:rPr>
        <w:t>Bullettin</w:t>
      </w:r>
      <w:proofErr w:type="spellEnd"/>
      <w:r w:rsidRPr="00F935F7">
        <w:rPr>
          <w:lang w:val="en-US"/>
        </w:rPr>
        <w:t xml:space="preserve">,  87, 2005, pp. </w:t>
      </w:r>
      <w:r>
        <w:rPr>
          <w:lang w:val="en-US"/>
        </w:rPr>
        <w:t>403-432</w:t>
      </w:r>
    </w:p>
    <w:p w:rsidR="00863850" w:rsidRDefault="00863850" w:rsidP="00863850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6C115B">
        <w:rPr>
          <w:b/>
          <w:lang w:val="en-US"/>
        </w:rPr>
        <w:t>R</w:t>
      </w:r>
      <w:r w:rsidR="005175F3">
        <w:rPr>
          <w:b/>
          <w:lang w:val="en-US"/>
        </w:rPr>
        <w:t>ÉDECOUVERTES ET MÉTHODES</w:t>
      </w:r>
    </w:p>
    <w:p w:rsidR="00953E87" w:rsidRPr="00953E87" w:rsidRDefault="00863850" w:rsidP="00863850">
      <w:r w:rsidRPr="00953E87">
        <w:rPr>
          <w:b/>
          <w:i/>
        </w:rPr>
        <w:t>André Malraux</w:t>
      </w:r>
      <w:r w:rsidRPr="00953E87">
        <w:rPr>
          <w:b/>
        </w:rPr>
        <w:t xml:space="preserve">, </w:t>
      </w:r>
      <w:r w:rsidRPr="00953E87">
        <w:rPr>
          <w:i/>
        </w:rPr>
        <w:t>Le Musée imaginaire</w:t>
      </w:r>
      <w:r w:rsidRPr="00953E87">
        <w:t xml:space="preserve"> (1951), Paris Gallimard, 1965</w:t>
      </w:r>
    </w:p>
    <w:p w:rsidR="00863850" w:rsidRPr="005175F3" w:rsidRDefault="00863850" w:rsidP="00863850">
      <w:r w:rsidRPr="00953E87">
        <w:rPr>
          <w:b/>
          <w:i/>
        </w:rPr>
        <w:t xml:space="preserve">Francis </w:t>
      </w:r>
      <w:proofErr w:type="spellStart"/>
      <w:r w:rsidRPr="00953E87">
        <w:rPr>
          <w:b/>
          <w:i/>
        </w:rPr>
        <w:t>Haskell</w:t>
      </w:r>
      <w:proofErr w:type="spellEnd"/>
      <w:r w:rsidRPr="00953E87">
        <w:rPr>
          <w:b/>
          <w:i/>
        </w:rPr>
        <w:t xml:space="preserve">, </w:t>
      </w:r>
      <w:r w:rsidR="00953E87" w:rsidRPr="00953E87">
        <w:rPr>
          <w:i/>
        </w:rPr>
        <w:t xml:space="preserve">La norme et le caprice: </w:t>
      </w:r>
      <w:proofErr w:type="spellStart"/>
      <w:r w:rsidR="00953E87" w:rsidRPr="00953E87">
        <w:rPr>
          <w:i/>
        </w:rPr>
        <w:t>rédecouvertes</w:t>
      </w:r>
      <w:proofErr w:type="spellEnd"/>
      <w:r w:rsidR="00953E87" w:rsidRPr="00953E87">
        <w:rPr>
          <w:i/>
        </w:rPr>
        <w:t xml:space="preserve"> en art: aspects du go</w:t>
      </w:r>
      <w:r w:rsidR="005175F3">
        <w:rPr>
          <w:i/>
        </w:rPr>
        <w:t>û</w:t>
      </w:r>
      <w:r w:rsidR="00953E87" w:rsidRPr="00953E87">
        <w:rPr>
          <w:i/>
        </w:rPr>
        <w:t>t</w:t>
      </w:r>
      <w:r w:rsidR="005175F3">
        <w:rPr>
          <w:i/>
        </w:rPr>
        <w:t xml:space="preserve"> et de la collection en France et en Angleterre, 1789-1914 (</w:t>
      </w:r>
      <w:r w:rsidRPr="005175F3">
        <w:t>1976</w:t>
      </w:r>
      <w:r w:rsidR="005175F3">
        <w:t>), Paris, Flammarion, 1986</w:t>
      </w:r>
    </w:p>
    <w:p w:rsidR="00863850" w:rsidRPr="008104EB" w:rsidRDefault="008104EB" w:rsidP="00863850">
      <w:pPr>
        <w:pStyle w:val="Paragrafoelenco"/>
        <w:numPr>
          <w:ilvl w:val="0"/>
          <w:numId w:val="1"/>
        </w:numPr>
        <w:rPr>
          <w:b/>
        </w:rPr>
      </w:pPr>
      <w:r w:rsidRPr="008104EB">
        <w:rPr>
          <w:b/>
        </w:rPr>
        <w:t>L</w:t>
      </w:r>
      <w:r>
        <w:rPr>
          <w:b/>
        </w:rPr>
        <w:t xml:space="preserve">E </w:t>
      </w:r>
      <w:r w:rsidRPr="008104EB">
        <w:rPr>
          <w:b/>
        </w:rPr>
        <w:t xml:space="preserve"> MOYEN AGE. UN CAS EXEMPLAIRE</w:t>
      </w:r>
    </w:p>
    <w:p w:rsidR="00863850" w:rsidRPr="00B035CF" w:rsidRDefault="00863850" w:rsidP="00863850">
      <w:pPr>
        <w:rPr>
          <w:rFonts w:eastAsia="Times New Roman"/>
          <w:lang w:val="it-IT"/>
        </w:rPr>
      </w:pPr>
      <w:r w:rsidRPr="00B035CF">
        <w:rPr>
          <w:rFonts w:eastAsia="Times New Roman"/>
          <w:b/>
          <w:i/>
          <w:lang w:val="it-IT"/>
        </w:rPr>
        <w:t xml:space="preserve">Enrico </w:t>
      </w:r>
      <w:proofErr w:type="spellStart"/>
      <w:r w:rsidRPr="00B035CF">
        <w:rPr>
          <w:rFonts w:eastAsia="Times New Roman"/>
          <w:b/>
          <w:i/>
          <w:lang w:val="it-IT"/>
        </w:rPr>
        <w:t>Castelnuovo</w:t>
      </w:r>
      <w:proofErr w:type="spellEnd"/>
      <w:r w:rsidRPr="00B035CF">
        <w:rPr>
          <w:rFonts w:eastAsia="Times New Roman"/>
          <w:lang w:val="it-IT"/>
        </w:rPr>
        <w:t xml:space="preserve"> e </w:t>
      </w:r>
      <w:r w:rsidRPr="00B035CF">
        <w:rPr>
          <w:rFonts w:eastAsia="Times New Roman"/>
          <w:b/>
          <w:i/>
          <w:lang w:val="it-IT"/>
        </w:rPr>
        <w:t xml:space="preserve">Alessio </w:t>
      </w:r>
      <w:proofErr w:type="spellStart"/>
      <w:r w:rsidRPr="00B035CF">
        <w:rPr>
          <w:rFonts w:eastAsia="Times New Roman"/>
          <w:b/>
          <w:i/>
          <w:lang w:val="it-IT"/>
        </w:rPr>
        <w:t>Monciatti</w:t>
      </w:r>
      <w:proofErr w:type="spellEnd"/>
      <w:r w:rsidRPr="00B035CF">
        <w:rPr>
          <w:rFonts w:eastAsia="Times New Roman"/>
          <w:lang w:val="it-IT"/>
        </w:rPr>
        <w:t xml:space="preserve">, </w:t>
      </w:r>
      <w:r w:rsidRPr="00B035CF">
        <w:rPr>
          <w:rFonts w:eastAsia="Times New Roman"/>
          <w:i/>
          <w:lang w:val="it-IT"/>
        </w:rPr>
        <w:t>Introduzione</w:t>
      </w:r>
      <w:r w:rsidRPr="00B035CF">
        <w:rPr>
          <w:rFonts w:eastAsia="Times New Roman"/>
          <w:lang w:val="it-IT"/>
        </w:rPr>
        <w:t xml:space="preserve">, in </w:t>
      </w:r>
      <w:r w:rsidRPr="00B035CF">
        <w:rPr>
          <w:rFonts w:eastAsia="Times New Roman"/>
          <w:i/>
          <w:lang w:val="it-IT"/>
        </w:rPr>
        <w:t>Medioevo/Medioevi : un secolo di esposizioni di arte medievale</w:t>
      </w:r>
      <w:r w:rsidRPr="00B035CF">
        <w:rPr>
          <w:rFonts w:eastAsia="Times New Roman"/>
          <w:lang w:val="it-IT"/>
        </w:rPr>
        <w:t>, Pisa, Edizioni della Scuola Normale, 2008, p. I-XV. </w:t>
      </w:r>
    </w:p>
    <w:p w:rsidR="00863850" w:rsidRDefault="00863850" w:rsidP="00863850">
      <w:pPr>
        <w:rPr>
          <w:rFonts w:eastAsia="Times New Roman"/>
          <w:shd w:val="clear" w:color="auto" w:fill="FFFFFF"/>
          <w:lang w:val="en-US"/>
        </w:rPr>
      </w:pPr>
      <w:r w:rsidRPr="00B035CF">
        <w:rPr>
          <w:rFonts w:eastAsia="Times New Roman"/>
          <w:b/>
          <w:i/>
          <w:lang w:val="en-US"/>
        </w:rPr>
        <w:t xml:space="preserve">Elizabeth Emery, Laura </w:t>
      </w:r>
      <w:proofErr w:type="spellStart"/>
      <w:r w:rsidRPr="00B035CF">
        <w:rPr>
          <w:rFonts w:eastAsia="Times New Roman"/>
          <w:b/>
          <w:i/>
          <w:lang w:val="en-US"/>
        </w:rPr>
        <w:t>Morowitz</w:t>
      </w:r>
      <w:proofErr w:type="spellEnd"/>
      <w:r w:rsidRPr="00B035CF">
        <w:rPr>
          <w:rFonts w:eastAsia="Times New Roman"/>
          <w:lang w:val="en-US"/>
        </w:rPr>
        <w:t xml:space="preserve">, </w:t>
      </w:r>
      <w:r w:rsidRPr="00B035CF">
        <w:rPr>
          <w:rFonts w:eastAsia="Times New Roman"/>
          <w:i/>
          <w:lang w:val="en-US"/>
        </w:rPr>
        <w:t>Consuming the Past, </w:t>
      </w:r>
      <w:r w:rsidRPr="00B035CF">
        <w:rPr>
          <w:rFonts w:eastAsia="Times New Roman"/>
          <w:i/>
          <w:shd w:val="clear" w:color="auto" w:fill="FFFFFF"/>
          <w:lang w:val="en-US"/>
        </w:rPr>
        <w:t>the medieval Revival in fin-de-siècle France</w:t>
      </w:r>
      <w:r w:rsidRPr="00B035CF">
        <w:rPr>
          <w:rFonts w:eastAsia="Times New Roman"/>
          <w:shd w:val="clear" w:color="auto" w:fill="FFFFFF"/>
          <w:lang w:val="en-US"/>
        </w:rPr>
        <w:t xml:space="preserve">, Burlington </w:t>
      </w:r>
      <w:proofErr w:type="spellStart"/>
      <w:r w:rsidRPr="00B035CF">
        <w:rPr>
          <w:rFonts w:eastAsia="Times New Roman"/>
          <w:shd w:val="clear" w:color="auto" w:fill="FFFFFF"/>
          <w:lang w:val="en-US"/>
        </w:rPr>
        <w:t>vt</w:t>
      </w:r>
      <w:proofErr w:type="spellEnd"/>
      <w:r w:rsidRPr="00B035CF">
        <w:rPr>
          <w:rFonts w:eastAsia="Times New Roman"/>
          <w:shd w:val="clear" w:color="auto" w:fill="FFFFFF"/>
          <w:lang w:val="en-US"/>
        </w:rPr>
        <w:t xml:space="preserve">., </w:t>
      </w:r>
      <w:proofErr w:type="spellStart"/>
      <w:r w:rsidRPr="00B035CF">
        <w:rPr>
          <w:rFonts w:eastAsia="Times New Roman"/>
          <w:shd w:val="clear" w:color="auto" w:fill="FFFFFF"/>
          <w:lang w:val="en-US"/>
        </w:rPr>
        <w:t>Ashgate</w:t>
      </w:r>
      <w:proofErr w:type="spellEnd"/>
      <w:r w:rsidRPr="00B035CF">
        <w:rPr>
          <w:rFonts w:eastAsia="Times New Roman"/>
          <w:shd w:val="clear" w:color="auto" w:fill="FFFFFF"/>
          <w:lang w:val="en-US"/>
        </w:rPr>
        <w:t>, 2003.</w:t>
      </w:r>
    </w:p>
    <w:p w:rsidR="00863850" w:rsidRDefault="00863850" w:rsidP="00863850">
      <w:pPr>
        <w:rPr>
          <w:lang w:val="en-US"/>
        </w:rPr>
      </w:pPr>
      <w:r>
        <w:rPr>
          <w:b/>
          <w:i/>
          <w:lang w:val="en-US"/>
        </w:rPr>
        <w:lastRenderedPageBreak/>
        <w:t xml:space="preserve">Alexander </w:t>
      </w:r>
      <w:r w:rsidRPr="00E46E1C">
        <w:rPr>
          <w:b/>
          <w:i/>
          <w:lang w:val="en-US"/>
        </w:rPr>
        <w:t>Nagel</w:t>
      </w:r>
      <w:r>
        <w:rPr>
          <w:b/>
          <w:i/>
          <w:lang w:val="en-US"/>
        </w:rPr>
        <w:t xml:space="preserve">, </w:t>
      </w:r>
      <w:r w:rsidRPr="00E41E77">
        <w:rPr>
          <w:i/>
          <w:lang w:val="en-US"/>
        </w:rPr>
        <w:t>Medieval Modern: Art out of Time</w:t>
      </w:r>
      <w:r>
        <w:rPr>
          <w:lang w:val="en-US"/>
        </w:rPr>
        <w:t xml:space="preserve">, London, Thames and Hudson, 2012, </w:t>
      </w:r>
      <w:proofErr w:type="spellStart"/>
      <w:r>
        <w:rPr>
          <w:lang w:val="en-US"/>
        </w:rPr>
        <w:t>capp</w:t>
      </w:r>
      <w:proofErr w:type="spellEnd"/>
      <w:r>
        <w:rPr>
          <w:lang w:val="en-US"/>
        </w:rPr>
        <w:t>. I (</w:t>
      </w:r>
      <w:r w:rsidRPr="00E41E77">
        <w:rPr>
          <w:i/>
          <w:lang w:val="en-US"/>
        </w:rPr>
        <w:t>Not a long History, a different History</w:t>
      </w:r>
      <w:r>
        <w:rPr>
          <w:lang w:val="en-US"/>
        </w:rPr>
        <w:t>), II (</w:t>
      </w:r>
      <w:r w:rsidRPr="00E41E77">
        <w:rPr>
          <w:i/>
          <w:lang w:val="en-US"/>
        </w:rPr>
        <w:t>Learning to live without artistic Periods</w:t>
      </w:r>
      <w:r>
        <w:rPr>
          <w:lang w:val="en-US"/>
        </w:rPr>
        <w:t>), pp. 7-26 e cap. 10 (</w:t>
      </w:r>
      <w:r w:rsidRPr="00E41E77">
        <w:rPr>
          <w:i/>
          <w:lang w:val="en-US"/>
        </w:rPr>
        <w:t>Non site-Specificity</w:t>
      </w:r>
      <w:r>
        <w:rPr>
          <w:lang w:val="en-US"/>
        </w:rPr>
        <w:t>), pp. 116-132</w:t>
      </w:r>
    </w:p>
    <w:p w:rsidR="00863850" w:rsidRPr="00B035CF" w:rsidRDefault="00863850" w:rsidP="00863850">
      <w:pPr>
        <w:rPr>
          <w:rFonts w:eastAsia="Times New Roman"/>
          <w:lang w:val="en-US"/>
        </w:rPr>
      </w:pPr>
    </w:p>
    <w:p w:rsidR="00863850" w:rsidRPr="00B035CF" w:rsidRDefault="00863850" w:rsidP="00863850">
      <w:pPr>
        <w:rPr>
          <w:color w:val="FF0000"/>
          <w:lang w:val="en-US"/>
        </w:rPr>
      </w:pPr>
    </w:p>
    <w:p w:rsidR="00863850" w:rsidRPr="00B035CF" w:rsidRDefault="00863850" w:rsidP="00863850">
      <w:pPr>
        <w:rPr>
          <w:lang w:val="en-US"/>
        </w:rPr>
      </w:pPr>
    </w:p>
    <w:p w:rsidR="00863850" w:rsidRPr="00451982" w:rsidRDefault="00863850" w:rsidP="00863850">
      <w:pPr>
        <w:rPr>
          <w:lang w:val="en-US"/>
        </w:rPr>
      </w:pPr>
    </w:p>
    <w:p w:rsidR="007D4C71" w:rsidRPr="00863850" w:rsidRDefault="007D4C71">
      <w:pPr>
        <w:rPr>
          <w:lang w:val="en-US"/>
        </w:rPr>
      </w:pPr>
    </w:p>
    <w:sectPr w:rsidR="007D4C71" w:rsidRPr="00863850" w:rsidSect="007D4C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3649B"/>
    <w:multiLevelType w:val="hybridMultilevel"/>
    <w:tmpl w:val="9B4C21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863850"/>
    <w:rsid w:val="00110419"/>
    <w:rsid w:val="00363AB5"/>
    <w:rsid w:val="004D082C"/>
    <w:rsid w:val="005175F3"/>
    <w:rsid w:val="007D4C71"/>
    <w:rsid w:val="007E51B5"/>
    <w:rsid w:val="008104EB"/>
    <w:rsid w:val="00863850"/>
    <w:rsid w:val="00945ED6"/>
    <w:rsid w:val="00953E87"/>
    <w:rsid w:val="00B067C2"/>
    <w:rsid w:val="00B136B4"/>
    <w:rsid w:val="00BC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8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3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</dc:creator>
  <cp:lastModifiedBy>mariagrazia</cp:lastModifiedBy>
  <cp:revision>2</cp:revision>
  <dcterms:created xsi:type="dcterms:W3CDTF">2016-04-01T17:34:00Z</dcterms:created>
  <dcterms:modified xsi:type="dcterms:W3CDTF">2016-04-01T17:58:00Z</dcterms:modified>
</cp:coreProperties>
</file>